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E645B5" w14:textId="77777777" w:rsidR="00B17F8A" w:rsidRPr="00F30A7E" w:rsidRDefault="00B17F8A" w:rsidP="00801A26">
      <w:pPr>
        <w:rPr>
          <w:sz w:val="80"/>
          <w:szCs w:val="80"/>
        </w:rPr>
      </w:pPr>
      <w:bookmarkStart w:id="0" w:name="_GoBack"/>
      <w:bookmarkEnd w:id="0"/>
    </w:p>
    <w:p w14:paraId="78E645B6" w14:textId="77777777" w:rsidR="00801A26" w:rsidRDefault="00801A26" w:rsidP="00801A26">
      <w:pPr>
        <w:spacing w:line="276" w:lineRule="auto"/>
        <w:rPr>
          <w:szCs w:val="24"/>
        </w:rPr>
      </w:pPr>
    </w:p>
    <w:p w14:paraId="78E645B7" w14:textId="77777777" w:rsidR="00B17F8A" w:rsidRDefault="00DB07AF" w:rsidP="00B17F8A">
      <w:pPr>
        <w:rPr>
          <w:szCs w:val="24"/>
        </w:rPr>
      </w:pPr>
      <w:r>
        <w:rPr>
          <w:noProof/>
          <w:szCs w:val="24"/>
        </w:rPr>
        <w:drawing>
          <wp:inline distT="0" distB="0" distL="0" distR="0" wp14:anchorId="78E64744" wp14:editId="78E64745">
            <wp:extent cx="4924425" cy="1457325"/>
            <wp:effectExtent l="0" t="0" r="9525" b="9525"/>
            <wp:docPr id="150" name="Picture 150" descr="C:\Users\Melissa.Baer\Documents\MMRC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C:\Users\Melissa.Baer\Documents\MMRC_logo.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924425" cy="1457325"/>
                    </a:xfrm>
                    <a:prstGeom prst="rect">
                      <a:avLst/>
                    </a:prstGeom>
                    <a:noFill/>
                    <a:ln>
                      <a:noFill/>
                    </a:ln>
                  </pic:spPr>
                </pic:pic>
              </a:graphicData>
            </a:graphic>
          </wp:inline>
        </w:drawing>
      </w:r>
    </w:p>
    <w:p w14:paraId="78E645B8" w14:textId="77777777" w:rsidR="00B17F8A" w:rsidRDefault="00B17F8A" w:rsidP="00B17F8A">
      <w:pPr>
        <w:rPr>
          <w:szCs w:val="24"/>
        </w:rPr>
      </w:pPr>
    </w:p>
    <w:p w14:paraId="78E645B9" w14:textId="77777777" w:rsidR="00B17F8A" w:rsidRPr="006E4EA2" w:rsidRDefault="00B17F8A" w:rsidP="00B17F8A">
      <w:pPr>
        <w:rPr>
          <w:sz w:val="80"/>
          <w:szCs w:val="80"/>
        </w:rPr>
      </w:pPr>
      <w:r w:rsidRPr="006E4EA2">
        <w:rPr>
          <w:sz w:val="80"/>
          <w:szCs w:val="80"/>
        </w:rPr>
        <w:t>Tyler Technologies</w:t>
      </w:r>
    </w:p>
    <w:p w14:paraId="78E645BA" w14:textId="77777777" w:rsidR="00B17F8A" w:rsidRDefault="00B17F8A" w:rsidP="00B17F8A">
      <w:pPr>
        <w:ind w:left="810" w:hanging="90"/>
        <w:jc w:val="left"/>
        <w:rPr>
          <w:sz w:val="56"/>
          <w:szCs w:val="56"/>
        </w:rPr>
      </w:pPr>
      <w:r>
        <w:rPr>
          <w:sz w:val="80"/>
          <w:szCs w:val="80"/>
        </w:rPr>
        <w:t>Neighborhood Delineation</w:t>
      </w:r>
      <w:r>
        <w:rPr>
          <w:sz w:val="56"/>
          <w:szCs w:val="56"/>
        </w:rPr>
        <w:tab/>
      </w:r>
    </w:p>
    <w:p w14:paraId="78E645BB" w14:textId="77777777" w:rsidR="00B17F8A" w:rsidRDefault="00B17F8A" w:rsidP="00B17F8A">
      <w:pPr>
        <w:rPr>
          <w:sz w:val="80"/>
          <w:szCs w:val="80"/>
        </w:rPr>
      </w:pPr>
      <w:r>
        <w:rPr>
          <w:sz w:val="80"/>
          <w:szCs w:val="80"/>
        </w:rPr>
        <w:t>Procedure</w:t>
      </w:r>
    </w:p>
    <w:p w14:paraId="78E645BC" w14:textId="77777777" w:rsidR="00801A26" w:rsidRDefault="00801A26" w:rsidP="00801A26">
      <w:pPr>
        <w:spacing w:line="276" w:lineRule="auto"/>
        <w:rPr>
          <w:szCs w:val="24"/>
        </w:rPr>
      </w:pPr>
    </w:p>
    <w:p w14:paraId="78E645BD" w14:textId="77777777" w:rsidR="00801A26" w:rsidRDefault="00801A26" w:rsidP="00801A26">
      <w:pPr>
        <w:spacing w:line="276" w:lineRule="auto"/>
        <w:rPr>
          <w:szCs w:val="24"/>
        </w:rPr>
      </w:pPr>
    </w:p>
    <w:p w14:paraId="78E645BE" w14:textId="77777777" w:rsidR="00801A26" w:rsidRDefault="00801A26" w:rsidP="00801A26">
      <w:pPr>
        <w:spacing w:line="276" w:lineRule="auto"/>
        <w:rPr>
          <w:szCs w:val="24"/>
        </w:rPr>
      </w:pPr>
    </w:p>
    <w:p w14:paraId="78E645BF" w14:textId="77777777" w:rsidR="00801A26" w:rsidRDefault="00801A26" w:rsidP="00801A26">
      <w:pPr>
        <w:spacing w:line="276" w:lineRule="auto"/>
        <w:rPr>
          <w:szCs w:val="24"/>
        </w:rPr>
      </w:pPr>
    </w:p>
    <w:p w14:paraId="78E645C0" w14:textId="77777777" w:rsidR="00801A26" w:rsidRDefault="00801A26" w:rsidP="00801A26">
      <w:pPr>
        <w:spacing w:line="276" w:lineRule="auto"/>
        <w:rPr>
          <w:szCs w:val="24"/>
        </w:rPr>
      </w:pPr>
    </w:p>
    <w:p w14:paraId="78E645C1" w14:textId="77777777" w:rsidR="00801A26" w:rsidRDefault="00801A26" w:rsidP="00801A26">
      <w:pPr>
        <w:spacing w:line="276" w:lineRule="auto"/>
        <w:rPr>
          <w:szCs w:val="24"/>
        </w:rPr>
      </w:pPr>
    </w:p>
    <w:p w14:paraId="78E645C2" w14:textId="77777777" w:rsidR="00801A26" w:rsidRDefault="00801A26" w:rsidP="00801A26">
      <w:pPr>
        <w:spacing w:line="276" w:lineRule="auto"/>
        <w:rPr>
          <w:szCs w:val="24"/>
        </w:rPr>
      </w:pPr>
    </w:p>
    <w:p w14:paraId="78E645C3" w14:textId="77777777" w:rsidR="00B17F8A" w:rsidRDefault="00B17F8A" w:rsidP="00801A26">
      <w:pPr>
        <w:spacing w:line="276" w:lineRule="auto"/>
        <w:rPr>
          <w:szCs w:val="24"/>
        </w:rPr>
      </w:pPr>
    </w:p>
    <w:p w14:paraId="78E645C4" w14:textId="77777777" w:rsidR="00B17F8A" w:rsidRDefault="00B17F8A" w:rsidP="00801A26">
      <w:pPr>
        <w:spacing w:line="276" w:lineRule="auto"/>
        <w:rPr>
          <w:szCs w:val="24"/>
        </w:rPr>
      </w:pPr>
    </w:p>
    <w:p w14:paraId="78E645C5" w14:textId="77777777" w:rsidR="00B17F8A" w:rsidRDefault="00B17F8A" w:rsidP="00801A26">
      <w:pPr>
        <w:spacing w:line="276" w:lineRule="auto"/>
        <w:rPr>
          <w:szCs w:val="24"/>
        </w:rPr>
      </w:pPr>
    </w:p>
    <w:p w14:paraId="78E645C6" w14:textId="77777777" w:rsidR="00801A26" w:rsidRDefault="00B17F8A" w:rsidP="00801A26">
      <w:pPr>
        <w:spacing w:line="276" w:lineRule="auto"/>
        <w:rPr>
          <w:szCs w:val="24"/>
        </w:rPr>
      </w:pPr>
      <w:r>
        <w:rPr>
          <w:szCs w:val="24"/>
        </w:rPr>
        <w:t>August 8, 2014</w:t>
      </w:r>
    </w:p>
    <w:p w14:paraId="78E645C7" w14:textId="77777777" w:rsidR="00801A26" w:rsidRDefault="00801A26" w:rsidP="007E4F42">
      <w:pPr>
        <w:jc w:val="center"/>
        <w:rPr>
          <w:b/>
          <w:sz w:val="28"/>
          <w:szCs w:val="28"/>
        </w:rPr>
      </w:pPr>
    </w:p>
    <w:p w14:paraId="78E645C8" w14:textId="77777777" w:rsidR="00801A26" w:rsidRDefault="00801A26" w:rsidP="001D77B3">
      <w:pPr>
        <w:pStyle w:val="TOCHeading"/>
        <w:numPr>
          <w:ilvl w:val="0"/>
          <w:numId w:val="0"/>
        </w:numPr>
      </w:pPr>
      <w:r>
        <w:t>Contents</w:t>
      </w:r>
    </w:p>
    <w:p w14:paraId="78E645C9" w14:textId="77777777" w:rsidR="00F30A7E" w:rsidRPr="00F30A7E" w:rsidRDefault="00F30A7E" w:rsidP="00F30A7E">
      <w:pPr>
        <w:rPr>
          <w:lang w:eastAsia="ja-JP"/>
        </w:rPr>
      </w:pPr>
    </w:p>
    <w:p w14:paraId="78E645CA" w14:textId="77777777" w:rsidR="00770EAE" w:rsidRDefault="00801A26">
      <w:pPr>
        <w:pStyle w:val="TOC1"/>
        <w:rPr>
          <w:rFonts w:asciiTheme="minorHAnsi" w:eastAsiaTheme="minorEastAsia" w:hAnsiTheme="minorHAnsi" w:cstheme="minorBidi"/>
          <w:noProof/>
        </w:rPr>
      </w:pPr>
      <w:r>
        <w:fldChar w:fldCharType="begin"/>
      </w:r>
      <w:r>
        <w:instrText xml:space="preserve"> TOC \o "1-3" \h \z \u </w:instrText>
      </w:r>
      <w:r>
        <w:fldChar w:fldCharType="separate"/>
      </w:r>
      <w:hyperlink w:anchor="_Toc395526913" w:history="1">
        <w:r w:rsidR="00770EAE" w:rsidRPr="00765FA8">
          <w:rPr>
            <w:rStyle w:val="Hyperlink"/>
            <w:noProof/>
          </w:rPr>
          <w:t>1.</w:t>
        </w:r>
        <w:r w:rsidR="00770EAE">
          <w:rPr>
            <w:rFonts w:asciiTheme="minorHAnsi" w:eastAsiaTheme="minorEastAsia" w:hAnsiTheme="minorHAnsi" w:cstheme="minorBidi"/>
            <w:noProof/>
          </w:rPr>
          <w:tab/>
        </w:r>
        <w:r w:rsidR="00770EAE" w:rsidRPr="00765FA8">
          <w:rPr>
            <w:rStyle w:val="Hyperlink"/>
            <w:noProof/>
          </w:rPr>
          <w:t>Scope</w:t>
        </w:r>
        <w:r w:rsidR="00770EAE">
          <w:rPr>
            <w:noProof/>
            <w:webHidden/>
          </w:rPr>
          <w:tab/>
        </w:r>
        <w:r w:rsidR="00770EAE">
          <w:rPr>
            <w:noProof/>
            <w:webHidden/>
          </w:rPr>
          <w:fldChar w:fldCharType="begin"/>
        </w:r>
        <w:r w:rsidR="00770EAE">
          <w:rPr>
            <w:noProof/>
            <w:webHidden/>
          </w:rPr>
          <w:instrText xml:space="preserve"> PAGEREF _Toc395526913 \h </w:instrText>
        </w:r>
        <w:r w:rsidR="00770EAE">
          <w:rPr>
            <w:noProof/>
            <w:webHidden/>
          </w:rPr>
        </w:r>
        <w:r w:rsidR="00770EAE">
          <w:rPr>
            <w:noProof/>
            <w:webHidden/>
          </w:rPr>
          <w:fldChar w:fldCharType="separate"/>
        </w:r>
        <w:r w:rsidR="00770EAE">
          <w:rPr>
            <w:noProof/>
            <w:webHidden/>
          </w:rPr>
          <w:t>1</w:t>
        </w:r>
        <w:r w:rsidR="00770EAE">
          <w:rPr>
            <w:noProof/>
            <w:webHidden/>
          </w:rPr>
          <w:fldChar w:fldCharType="end"/>
        </w:r>
      </w:hyperlink>
    </w:p>
    <w:p w14:paraId="78E645CB" w14:textId="77777777" w:rsidR="00770EAE" w:rsidRDefault="00447539">
      <w:pPr>
        <w:pStyle w:val="TOC1"/>
        <w:rPr>
          <w:rFonts w:asciiTheme="minorHAnsi" w:eastAsiaTheme="minorEastAsia" w:hAnsiTheme="minorHAnsi" w:cstheme="minorBidi"/>
          <w:noProof/>
        </w:rPr>
      </w:pPr>
      <w:hyperlink w:anchor="_Toc395526914" w:history="1">
        <w:r w:rsidR="00770EAE" w:rsidRPr="00765FA8">
          <w:rPr>
            <w:rStyle w:val="Hyperlink"/>
            <w:noProof/>
          </w:rPr>
          <w:t>2.</w:t>
        </w:r>
        <w:r w:rsidR="00770EAE">
          <w:rPr>
            <w:rFonts w:asciiTheme="minorHAnsi" w:eastAsiaTheme="minorEastAsia" w:hAnsiTheme="minorHAnsi" w:cstheme="minorBidi"/>
            <w:noProof/>
          </w:rPr>
          <w:tab/>
        </w:r>
        <w:r w:rsidR="00770EAE" w:rsidRPr="00765FA8">
          <w:rPr>
            <w:rStyle w:val="Hyperlink"/>
            <w:noProof/>
          </w:rPr>
          <w:t>Introduction</w:t>
        </w:r>
        <w:r w:rsidR="00770EAE">
          <w:rPr>
            <w:noProof/>
            <w:webHidden/>
          </w:rPr>
          <w:tab/>
        </w:r>
        <w:r w:rsidR="00770EAE">
          <w:rPr>
            <w:noProof/>
            <w:webHidden/>
          </w:rPr>
          <w:fldChar w:fldCharType="begin"/>
        </w:r>
        <w:r w:rsidR="00770EAE">
          <w:rPr>
            <w:noProof/>
            <w:webHidden/>
          </w:rPr>
          <w:instrText xml:space="preserve"> PAGEREF _Toc395526914 \h </w:instrText>
        </w:r>
        <w:r w:rsidR="00770EAE">
          <w:rPr>
            <w:noProof/>
            <w:webHidden/>
          </w:rPr>
        </w:r>
        <w:r w:rsidR="00770EAE">
          <w:rPr>
            <w:noProof/>
            <w:webHidden/>
          </w:rPr>
          <w:fldChar w:fldCharType="separate"/>
        </w:r>
        <w:r w:rsidR="00770EAE">
          <w:rPr>
            <w:noProof/>
            <w:webHidden/>
          </w:rPr>
          <w:t>2</w:t>
        </w:r>
        <w:r w:rsidR="00770EAE">
          <w:rPr>
            <w:noProof/>
            <w:webHidden/>
          </w:rPr>
          <w:fldChar w:fldCharType="end"/>
        </w:r>
      </w:hyperlink>
    </w:p>
    <w:p w14:paraId="78E645CC" w14:textId="77777777" w:rsidR="00770EAE" w:rsidRDefault="00447539">
      <w:pPr>
        <w:pStyle w:val="TOC1"/>
        <w:rPr>
          <w:rFonts w:asciiTheme="minorHAnsi" w:eastAsiaTheme="minorEastAsia" w:hAnsiTheme="minorHAnsi" w:cstheme="minorBidi"/>
          <w:noProof/>
        </w:rPr>
      </w:pPr>
      <w:hyperlink w:anchor="_Toc395526915" w:history="1">
        <w:r w:rsidR="00770EAE" w:rsidRPr="00765FA8">
          <w:rPr>
            <w:rStyle w:val="Hyperlink"/>
            <w:noProof/>
          </w:rPr>
          <w:t>3.</w:t>
        </w:r>
        <w:r w:rsidR="00770EAE">
          <w:rPr>
            <w:rFonts w:asciiTheme="minorHAnsi" w:eastAsiaTheme="minorEastAsia" w:hAnsiTheme="minorHAnsi" w:cstheme="minorBidi"/>
            <w:noProof/>
          </w:rPr>
          <w:tab/>
        </w:r>
        <w:r w:rsidR="00770EAE" w:rsidRPr="00765FA8">
          <w:rPr>
            <w:rStyle w:val="Hyperlink"/>
            <w:noProof/>
          </w:rPr>
          <w:t>Data to be analyzed</w:t>
        </w:r>
        <w:r w:rsidR="00770EAE">
          <w:rPr>
            <w:noProof/>
            <w:webHidden/>
          </w:rPr>
          <w:tab/>
        </w:r>
        <w:r w:rsidR="00770EAE">
          <w:rPr>
            <w:noProof/>
            <w:webHidden/>
          </w:rPr>
          <w:fldChar w:fldCharType="begin"/>
        </w:r>
        <w:r w:rsidR="00770EAE">
          <w:rPr>
            <w:noProof/>
            <w:webHidden/>
          </w:rPr>
          <w:instrText xml:space="preserve"> PAGEREF _Toc395526915 \h </w:instrText>
        </w:r>
        <w:r w:rsidR="00770EAE">
          <w:rPr>
            <w:noProof/>
            <w:webHidden/>
          </w:rPr>
        </w:r>
        <w:r w:rsidR="00770EAE">
          <w:rPr>
            <w:noProof/>
            <w:webHidden/>
          </w:rPr>
          <w:fldChar w:fldCharType="separate"/>
        </w:r>
        <w:r w:rsidR="00770EAE">
          <w:rPr>
            <w:noProof/>
            <w:webHidden/>
          </w:rPr>
          <w:t>3</w:t>
        </w:r>
        <w:r w:rsidR="00770EAE">
          <w:rPr>
            <w:noProof/>
            <w:webHidden/>
          </w:rPr>
          <w:fldChar w:fldCharType="end"/>
        </w:r>
      </w:hyperlink>
    </w:p>
    <w:p w14:paraId="78E645CD" w14:textId="77777777" w:rsidR="00770EAE" w:rsidRDefault="00447539">
      <w:pPr>
        <w:pStyle w:val="TOC2"/>
        <w:rPr>
          <w:rFonts w:asciiTheme="minorHAnsi" w:eastAsiaTheme="minorEastAsia" w:hAnsiTheme="minorHAnsi" w:cstheme="minorBidi"/>
          <w:noProof/>
        </w:rPr>
      </w:pPr>
      <w:hyperlink w:anchor="_Toc395526916" w:history="1">
        <w:r w:rsidR="00770EAE" w:rsidRPr="00765FA8">
          <w:rPr>
            <w:rStyle w:val="Hyperlink"/>
            <w:noProof/>
          </w:rPr>
          <w:t>3.1</w:t>
        </w:r>
        <w:r w:rsidR="00770EAE">
          <w:rPr>
            <w:rFonts w:asciiTheme="minorHAnsi" w:eastAsiaTheme="minorEastAsia" w:hAnsiTheme="minorHAnsi" w:cstheme="minorBidi"/>
            <w:noProof/>
          </w:rPr>
          <w:tab/>
        </w:r>
        <w:r w:rsidR="00770EAE" w:rsidRPr="00765FA8">
          <w:rPr>
            <w:rStyle w:val="Hyperlink"/>
            <w:noProof/>
          </w:rPr>
          <w:t>External Data</w:t>
        </w:r>
        <w:r w:rsidR="00770EAE">
          <w:rPr>
            <w:noProof/>
            <w:webHidden/>
          </w:rPr>
          <w:tab/>
        </w:r>
        <w:r w:rsidR="00770EAE">
          <w:rPr>
            <w:noProof/>
            <w:webHidden/>
          </w:rPr>
          <w:fldChar w:fldCharType="begin"/>
        </w:r>
        <w:r w:rsidR="00770EAE">
          <w:rPr>
            <w:noProof/>
            <w:webHidden/>
          </w:rPr>
          <w:instrText xml:space="preserve"> PAGEREF _Toc395526916 \h </w:instrText>
        </w:r>
        <w:r w:rsidR="00770EAE">
          <w:rPr>
            <w:noProof/>
            <w:webHidden/>
          </w:rPr>
        </w:r>
        <w:r w:rsidR="00770EAE">
          <w:rPr>
            <w:noProof/>
            <w:webHidden/>
          </w:rPr>
          <w:fldChar w:fldCharType="separate"/>
        </w:r>
        <w:r w:rsidR="00770EAE">
          <w:rPr>
            <w:noProof/>
            <w:webHidden/>
          </w:rPr>
          <w:t>3</w:t>
        </w:r>
        <w:r w:rsidR="00770EAE">
          <w:rPr>
            <w:noProof/>
            <w:webHidden/>
          </w:rPr>
          <w:fldChar w:fldCharType="end"/>
        </w:r>
      </w:hyperlink>
    </w:p>
    <w:p w14:paraId="78E645CE" w14:textId="77777777" w:rsidR="00770EAE" w:rsidRDefault="00447539">
      <w:pPr>
        <w:pStyle w:val="TOC2"/>
        <w:rPr>
          <w:rFonts w:asciiTheme="minorHAnsi" w:eastAsiaTheme="minorEastAsia" w:hAnsiTheme="minorHAnsi" w:cstheme="minorBidi"/>
          <w:noProof/>
        </w:rPr>
      </w:pPr>
      <w:hyperlink w:anchor="_Toc395526917" w:history="1">
        <w:r w:rsidR="00770EAE" w:rsidRPr="00765FA8">
          <w:rPr>
            <w:rStyle w:val="Hyperlink"/>
            <w:noProof/>
          </w:rPr>
          <w:t>3.2</w:t>
        </w:r>
        <w:r w:rsidR="00770EAE">
          <w:rPr>
            <w:rFonts w:asciiTheme="minorHAnsi" w:eastAsiaTheme="minorEastAsia" w:hAnsiTheme="minorHAnsi" w:cstheme="minorBidi"/>
            <w:noProof/>
          </w:rPr>
          <w:tab/>
        </w:r>
        <w:r w:rsidR="00770EAE" w:rsidRPr="00765FA8">
          <w:rPr>
            <w:rStyle w:val="Hyperlink"/>
            <w:noProof/>
          </w:rPr>
          <w:t>Neighborhood Data</w:t>
        </w:r>
        <w:r w:rsidR="00770EAE">
          <w:rPr>
            <w:noProof/>
            <w:webHidden/>
          </w:rPr>
          <w:tab/>
        </w:r>
        <w:r w:rsidR="00770EAE">
          <w:rPr>
            <w:noProof/>
            <w:webHidden/>
          </w:rPr>
          <w:fldChar w:fldCharType="begin"/>
        </w:r>
        <w:r w:rsidR="00770EAE">
          <w:rPr>
            <w:noProof/>
            <w:webHidden/>
          </w:rPr>
          <w:instrText xml:space="preserve"> PAGEREF _Toc395526917 \h </w:instrText>
        </w:r>
        <w:r w:rsidR="00770EAE">
          <w:rPr>
            <w:noProof/>
            <w:webHidden/>
          </w:rPr>
        </w:r>
        <w:r w:rsidR="00770EAE">
          <w:rPr>
            <w:noProof/>
            <w:webHidden/>
          </w:rPr>
          <w:fldChar w:fldCharType="separate"/>
        </w:r>
        <w:r w:rsidR="00770EAE">
          <w:rPr>
            <w:noProof/>
            <w:webHidden/>
          </w:rPr>
          <w:t>4</w:t>
        </w:r>
        <w:r w:rsidR="00770EAE">
          <w:rPr>
            <w:noProof/>
            <w:webHidden/>
          </w:rPr>
          <w:fldChar w:fldCharType="end"/>
        </w:r>
      </w:hyperlink>
    </w:p>
    <w:p w14:paraId="78E645CF" w14:textId="77777777" w:rsidR="00770EAE" w:rsidRDefault="00447539">
      <w:pPr>
        <w:pStyle w:val="TOC2"/>
        <w:rPr>
          <w:rFonts w:asciiTheme="minorHAnsi" w:eastAsiaTheme="minorEastAsia" w:hAnsiTheme="minorHAnsi" w:cstheme="minorBidi"/>
          <w:noProof/>
        </w:rPr>
      </w:pPr>
      <w:hyperlink w:anchor="_Toc395526918" w:history="1">
        <w:r w:rsidR="00770EAE" w:rsidRPr="00765FA8">
          <w:rPr>
            <w:rStyle w:val="Hyperlink"/>
            <w:noProof/>
          </w:rPr>
          <w:t>3.3</w:t>
        </w:r>
        <w:r w:rsidR="00770EAE">
          <w:rPr>
            <w:rFonts w:asciiTheme="minorHAnsi" w:eastAsiaTheme="minorEastAsia" w:hAnsiTheme="minorHAnsi" w:cstheme="minorBidi"/>
            <w:noProof/>
          </w:rPr>
          <w:tab/>
        </w:r>
        <w:r w:rsidR="00770EAE" w:rsidRPr="00765FA8">
          <w:rPr>
            <w:rStyle w:val="Hyperlink"/>
            <w:noProof/>
          </w:rPr>
          <w:t>Neighborhood Data Form</w:t>
        </w:r>
        <w:r w:rsidR="00770EAE">
          <w:rPr>
            <w:noProof/>
            <w:webHidden/>
          </w:rPr>
          <w:tab/>
        </w:r>
        <w:r w:rsidR="00770EAE">
          <w:rPr>
            <w:noProof/>
            <w:webHidden/>
          </w:rPr>
          <w:fldChar w:fldCharType="begin"/>
        </w:r>
        <w:r w:rsidR="00770EAE">
          <w:rPr>
            <w:noProof/>
            <w:webHidden/>
          </w:rPr>
          <w:instrText xml:space="preserve"> PAGEREF _Toc395526918 \h </w:instrText>
        </w:r>
        <w:r w:rsidR="00770EAE">
          <w:rPr>
            <w:noProof/>
            <w:webHidden/>
          </w:rPr>
        </w:r>
        <w:r w:rsidR="00770EAE">
          <w:rPr>
            <w:noProof/>
            <w:webHidden/>
          </w:rPr>
          <w:fldChar w:fldCharType="separate"/>
        </w:r>
        <w:r w:rsidR="00770EAE">
          <w:rPr>
            <w:noProof/>
            <w:webHidden/>
          </w:rPr>
          <w:t>4</w:t>
        </w:r>
        <w:r w:rsidR="00770EAE">
          <w:rPr>
            <w:noProof/>
            <w:webHidden/>
          </w:rPr>
          <w:fldChar w:fldCharType="end"/>
        </w:r>
      </w:hyperlink>
    </w:p>
    <w:p w14:paraId="78E645D0" w14:textId="77777777" w:rsidR="00770EAE" w:rsidRDefault="00447539">
      <w:pPr>
        <w:pStyle w:val="TOC1"/>
        <w:rPr>
          <w:rFonts w:asciiTheme="minorHAnsi" w:eastAsiaTheme="minorEastAsia" w:hAnsiTheme="minorHAnsi" w:cstheme="minorBidi"/>
          <w:noProof/>
        </w:rPr>
      </w:pPr>
      <w:hyperlink w:anchor="_Toc395526919" w:history="1">
        <w:r w:rsidR="00770EAE" w:rsidRPr="00765FA8">
          <w:rPr>
            <w:rStyle w:val="Hyperlink"/>
            <w:noProof/>
          </w:rPr>
          <w:t>4.</w:t>
        </w:r>
        <w:r w:rsidR="00770EAE">
          <w:rPr>
            <w:rFonts w:asciiTheme="minorHAnsi" w:eastAsiaTheme="minorEastAsia" w:hAnsiTheme="minorHAnsi" w:cstheme="minorBidi"/>
            <w:noProof/>
          </w:rPr>
          <w:tab/>
        </w:r>
        <w:r w:rsidR="00770EAE" w:rsidRPr="00765FA8">
          <w:rPr>
            <w:rStyle w:val="Hyperlink"/>
            <w:noProof/>
          </w:rPr>
          <w:t>Steps in the Analytical Process</w:t>
        </w:r>
        <w:r w:rsidR="00770EAE">
          <w:rPr>
            <w:noProof/>
            <w:webHidden/>
          </w:rPr>
          <w:tab/>
        </w:r>
        <w:r w:rsidR="00770EAE">
          <w:rPr>
            <w:noProof/>
            <w:webHidden/>
          </w:rPr>
          <w:fldChar w:fldCharType="begin"/>
        </w:r>
        <w:r w:rsidR="00770EAE">
          <w:rPr>
            <w:noProof/>
            <w:webHidden/>
          </w:rPr>
          <w:instrText xml:space="preserve"> PAGEREF _Toc395526919 \h </w:instrText>
        </w:r>
        <w:r w:rsidR="00770EAE">
          <w:rPr>
            <w:noProof/>
            <w:webHidden/>
          </w:rPr>
        </w:r>
        <w:r w:rsidR="00770EAE">
          <w:rPr>
            <w:noProof/>
            <w:webHidden/>
          </w:rPr>
          <w:fldChar w:fldCharType="separate"/>
        </w:r>
        <w:r w:rsidR="00770EAE">
          <w:rPr>
            <w:noProof/>
            <w:webHidden/>
          </w:rPr>
          <w:t>7</w:t>
        </w:r>
        <w:r w:rsidR="00770EAE">
          <w:rPr>
            <w:noProof/>
            <w:webHidden/>
          </w:rPr>
          <w:fldChar w:fldCharType="end"/>
        </w:r>
      </w:hyperlink>
    </w:p>
    <w:p w14:paraId="78E645D1" w14:textId="77777777" w:rsidR="00770EAE" w:rsidRDefault="00447539">
      <w:pPr>
        <w:pStyle w:val="TOC2"/>
        <w:rPr>
          <w:rFonts w:asciiTheme="minorHAnsi" w:eastAsiaTheme="minorEastAsia" w:hAnsiTheme="minorHAnsi" w:cstheme="minorBidi"/>
          <w:noProof/>
        </w:rPr>
      </w:pPr>
      <w:hyperlink w:anchor="_Toc395526920" w:history="1">
        <w:r w:rsidR="00770EAE" w:rsidRPr="00765FA8">
          <w:rPr>
            <w:rStyle w:val="Hyperlink"/>
            <w:noProof/>
          </w:rPr>
          <w:t>4.1</w:t>
        </w:r>
        <w:r w:rsidR="00770EAE">
          <w:rPr>
            <w:rFonts w:asciiTheme="minorHAnsi" w:eastAsiaTheme="minorEastAsia" w:hAnsiTheme="minorHAnsi" w:cstheme="minorBidi"/>
            <w:noProof/>
          </w:rPr>
          <w:tab/>
        </w:r>
        <w:r w:rsidR="00770EAE" w:rsidRPr="00765FA8">
          <w:rPr>
            <w:rStyle w:val="Hyperlink"/>
            <w:noProof/>
          </w:rPr>
          <w:t>Step 1</w:t>
        </w:r>
        <w:r w:rsidR="00770EAE">
          <w:rPr>
            <w:noProof/>
            <w:webHidden/>
          </w:rPr>
          <w:tab/>
        </w:r>
        <w:r w:rsidR="00770EAE">
          <w:rPr>
            <w:noProof/>
            <w:webHidden/>
          </w:rPr>
          <w:fldChar w:fldCharType="begin"/>
        </w:r>
        <w:r w:rsidR="00770EAE">
          <w:rPr>
            <w:noProof/>
            <w:webHidden/>
          </w:rPr>
          <w:instrText xml:space="preserve"> PAGEREF _Toc395526920 \h </w:instrText>
        </w:r>
        <w:r w:rsidR="00770EAE">
          <w:rPr>
            <w:noProof/>
            <w:webHidden/>
          </w:rPr>
        </w:r>
        <w:r w:rsidR="00770EAE">
          <w:rPr>
            <w:noProof/>
            <w:webHidden/>
          </w:rPr>
          <w:fldChar w:fldCharType="separate"/>
        </w:r>
        <w:r w:rsidR="00770EAE">
          <w:rPr>
            <w:noProof/>
            <w:webHidden/>
          </w:rPr>
          <w:t>9</w:t>
        </w:r>
        <w:r w:rsidR="00770EAE">
          <w:rPr>
            <w:noProof/>
            <w:webHidden/>
          </w:rPr>
          <w:fldChar w:fldCharType="end"/>
        </w:r>
      </w:hyperlink>
    </w:p>
    <w:p w14:paraId="78E645D2" w14:textId="77777777" w:rsidR="00770EAE" w:rsidRDefault="00447539">
      <w:pPr>
        <w:pStyle w:val="TOC2"/>
        <w:rPr>
          <w:rFonts w:asciiTheme="minorHAnsi" w:eastAsiaTheme="minorEastAsia" w:hAnsiTheme="minorHAnsi" w:cstheme="minorBidi"/>
          <w:noProof/>
        </w:rPr>
      </w:pPr>
      <w:hyperlink w:anchor="_Toc395526921" w:history="1">
        <w:r w:rsidR="00770EAE" w:rsidRPr="00765FA8">
          <w:rPr>
            <w:rStyle w:val="Hyperlink"/>
            <w:noProof/>
          </w:rPr>
          <w:t>4.2</w:t>
        </w:r>
        <w:r w:rsidR="00770EAE">
          <w:rPr>
            <w:rFonts w:asciiTheme="minorHAnsi" w:eastAsiaTheme="minorEastAsia" w:hAnsiTheme="minorHAnsi" w:cstheme="minorBidi"/>
            <w:noProof/>
          </w:rPr>
          <w:tab/>
        </w:r>
        <w:r w:rsidR="00770EAE" w:rsidRPr="00765FA8">
          <w:rPr>
            <w:rStyle w:val="Hyperlink"/>
            <w:noProof/>
          </w:rPr>
          <w:t>Step 2</w:t>
        </w:r>
        <w:r w:rsidR="00770EAE">
          <w:rPr>
            <w:noProof/>
            <w:webHidden/>
          </w:rPr>
          <w:tab/>
        </w:r>
        <w:r w:rsidR="00770EAE">
          <w:rPr>
            <w:noProof/>
            <w:webHidden/>
          </w:rPr>
          <w:fldChar w:fldCharType="begin"/>
        </w:r>
        <w:r w:rsidR="00770EAE">
          <w:rPr>
            <w:noProof/>
            <w:webHidden/>
          </w:rPr>
          <w:instrText xml:space="preserve"> PAGEREF _Toc395526921 \h </w:instrText>
        </w:r>
        <w:r w:rsidR="00770EAE">
          <w:rPr>
            <w:noProof/>
            <w:webHidden/>
          </w:rPr>
        </w:r>
        <w:r w:rsidR="00770EAE">
          <w:rPr>
            <w:noProof/>
            <w:webHidden/>
          </w:rPr>
          <w:fldChar w:fldCharType="separate"/>
        </w:r>
        <w:r w:rsidR="00770EAE">
          <w:rPr>
            <w:noProof/>
            <w:webHidden/>
          </w:rPr>
          <w:t>13</w:t>
        </w:r>
        <w:r w:rsidR="00770EAE">
          <w:rPr>
            <w:noProof/>
            <w:webHidden/>
          </w:rPr>
          <w:fldChar w:fldCharType="end"/>
        </w:r>
      </w:hyperlink>
    </w:p>
    <w:p w14:paraId="78E645D3" w14:textId="77777777" w:rsidR="00770EAE" w:rsidRDefault="00447539">
      <w:pPr>
        <w:pStyle w:val="TOC2"/>
        <w:rPr>
          <w:rFonts w:asciiTheme="minorHAnsi" w:eastAsiaTheme="minorEastAsia" w:hAnsiTheme="minorHAnsi" w:cstheme="minorBidi"/>
          <w:noProof/>
        </w:rPr>
      </w:pPr>
      <w:hyperlink w:anchor="_Toc395526922" w:history="1">
        <w:r w:rsidR="00770EAE" w:rsidRPr="00765FA8">
          <w:rPr>
            <w:rStyle w:val="Hyperlink"/>
            <w:noProof/>
          </w:rPr>
          <w:t>4.3</w:t>
        </w:r>
        <w:r w:rsidR="00770EAE">
          <w:rPr>
            <w:rFonts w:asciiTheme="minorHAnsi" w:eastAsiaTheme="minorEastAsia" w:hAnsiTheme="minorHAnsi" w:cstheme="minorBidi"/>
            <w:noProof/>
          </w:rPr>
          <w:tab/>
        </w:r>
        <w:r w:rsidR="00770EAE" w:rsidRPr="00765FA8">
          <w:rPr>
            <w:rStyle w:val="Hyperlink"/>
            <w:noProof/>
          </w:rPr>
          <w:t>Step 3</w:t>
        </w:r>
        <w:r w:rsidR="00770EAE">
          <w:rPr>
            <w:noProof/>
            <w:webHidden/>
          </w:rPr>
          <w:tab/>
        </w:r>
        <w:r w:rsidR="00770EAE">
          <w:rPr>
            <w:noProof/>
            <w:webHidden/>
          </w:rPr>
          <w:fldChar w:fldCharType="begin"/>
        </w:r>
        <w:r w:rsidR="00770EAE">
          <w:rPr>
            <w:noProof/>
            <w:webHidden/>
          </w:rPr>
          <w:instrText xml:space="preserve"> PAGEREF _Toc395526922 \h </w:instrText>
        </w:r>
        <w:r w:rsidR="00770EAE">
          <w:rPr>
            <w:noProof/>
            <w:webHidden/>
          </w:rPr>
        </w:r>
        <w:r w:rsidR="00770EAE">
          <w:rPr>
            <w:noProof/>
            <w:webHidden/>
          </w:rPr>
          <w:fldChar w:fldCharType="separate"/>
        </w:r>
        <w:r w:rsidR="00770EAE">
          <w:rPr>
            <w:noProof/>
            <w:webHidden/>
          </w:rPr>
          <w:t>13</w:t>
        </w:r>
        <w:r w:rsidR="00770EAE">
          <w:rPr>
            <w:noProof/>
            <w:webHidden/>
          </w:rPr>
          <w:fldChar w:fldCharType="end"/>
        </w:r>
      </w:hyperlink>
    </w:p>
    <w:p w14:paraId="78E645D4" w14:textId="77777777" w:rsidR="00770EAE" w:rsidRDefault="00447539">
      <w:pPr>
        <w:pStyle w:val="TOC2"/>
        <w:rPr>
          <w:rFonts w:asciiTheme="minorHAnsi" w:eastAsiaTheme="minorEastAsia" w:hAnsiTheme="minorHAnsi" w:cstheme="minorBidi"/>
          <w:noProof/>
        </w:rPr>
      </w:pPr>
      <w:hyperlink w:anchor="_Toc395526923" w:history="1">
        <w:r w:rsidR="00770EAE" w:rsidRPr="00765FA8">
          <w:rPr>
            <w:rStyle w:val="Hyperlink"/>
            <w:noProof/>
          </w:rPr>
          <w:t>4.4</w:t>
        </w:r>
        <w:r w:rsidR="00770EAE">
          <w:rPr>
            <w:rFonts w:asciiTheme="minorHAnsi" w:eastAsiaTheme="minorEastAsia" w:hAnsiTheme="minorHAnsi" w:cstheme="minorBidi"/>
            <w:noProof/>
          </w:rPr>
          <w:tab/>
        </w:r>
        <w:r w:rsidR="00770EAE" w:rsidRPr="00765FA8">
          <w:rPr>
            <w:rStyle w:val="Hyperlink"/>
            <w:noProof/>
          </w:rPr>
          <w:t>Commercial (including industrial and apartment) Delineation</w:t>
        </w:r>
        <w:r w:rsidR="00770EAE">
          <w:rPr>
            <w:noProof/>
            <w:webHidden/>
          </w:rPr>
          <w:tab/>
        </w:r>
        <w:r w:rsidR="00770EAE">
          <w:rPr>
            <w:noProof/>
            <w:webHidden/>
          </w:rPr>
          <w:fldChar w:fldCharType="begin"/>
        </w:r>
        <w:r w:rsidR="00770EAE">
          <w:rPr>
            <w:noProof/>
            <w:webHidden/>
          </w:rPr>
          <w:instrText xml:space="preserve"> PAGEREF _Toc395526923 \h </w:instrText>
        </w:r>
        <w:r w:rsidR="00770EAE">
          <w:rPr>
            <w:noProof/>
            <w:webHidden/>
          </w:rPr>
        </w:r>
        <w:r w:rsidR="00770EAE">
          <w:rPr>
            <w:noProof/>
            <w:webHidden/>
          </w:rPr>
          <w:fldChar w:fldCharType="separate"/>
        </w:r>
        <w:r w:rsidR="00770EAE">
          <w:rPr>
            <w:noProof/>
            <w:webHidden/>
          </w:rPr>
          <w:t>15</w:t>
        </w:r>
        <w:r w:rsidR="00770EAE">
          <w:rPr>
            <w:noProof/>
            <w:webHidden/>
          </w:rPr>
          <w:fldChar w:fldCharType="end"/>
        </w:r>
      </w:hyperlink>
    </w:p>
    <w:p w14:paraId="78E645D5" w14:textId="77777777" w:rsidR="00770EAE" w:rsidRDefault="00447539">
      <w:pPr>
        <w:pStyle w:val="TOC1"/>
        <w:rPr>
          <w:rFonts w:asciiTheme="minorHAnsi" w:eastAsiaTheme="minorEastAsia" w:hAnsiTheme="minorHAnsi" w:cstheme="minorBidi"/>
          <w:noProof/>
        </w:rPr>
      </w:pPr>
      <w:hyperlink w:anchor="_Toc395526924" w:history="1">
        <w:r w:rsidR="00770EAE" w:rsidRPr="00765FA8">
          <w:rPr>
            <w:rStyle w:val="Hyperlink"/>
            <w:noProof/>
          </w:rPr>
          <w:t>5.</w:t>
        </w:r>
        <w:r w:rsidR="00770EAE">
          <w:rPr>
            <w:rFonts w:asciiTheme="minorHAnsi" w:eastAsiaTheme="minorEastAsia" w:hAnsiTheme="minorHAnsi" w:cstheme="minorBidi"/>
            <w:noProof/>
          </w:rPr>
          <w:tab/>
        </w:r>
        <w:r w:rsidR="00770EAE" w:rsidRPr="00765FA8">
          <w:rPr>
            <w:rStyle w:val="Hyperlink"/>
            <w:noProof/>
          </w:rPr>
          <w:t>Necessary Documentation</w:t>
        </w:r>
        <w:r w:rsidR="00770EAE">
          <w:rPr>
            <w:noProof/>
            <w:webHidden/>
          </w:rPr>
          <w:tab/>
        </w:r>
        <w:r w:rsidR="00770EAE">
          <w:rPr>
            <w:noProof/>
            <w:webHidden/>
          </w:rPr>
          <w:fldChar w:fldCharType="begin"/>
        </w:r>
        <w:r w:rsidR="00770EAE">
          <w:rPr>
            <w:noProof/>
            <w:webHidden/>
          </w:rPr>
          <w:instrText xml:space="preserve"> PAGEREF _Toc395526924 \h </w:instrText>
        </w:r>
        <w:r w:rsidR="00770EAE">
          <w:rPr>
            <w:noProof/>
            <w:webHidden/>
          </w:rPr>
        </w:r>
        <w:r w:rsidR="00770EAE">
          <w:rPr>
            <w:noProof/>
            <w:webHidden/>
          </w:rPr>
          <w:fldChar w:fldCharType="separate"/>
        </w:r>
        <w:r w:rsidR="00770EAE">
          <w:rPr>
            <w:noProof/>
            <w:webHidden/>
          </w:rPr>
          <w:t>18</w:t>
        </w:r>
        <w:r w:rsidR="00770EAE">
          <w:rPr>
            <w:noProof/>
            <w:webHidden/>
          </w:rPr>
          <w:fldChar w:fldCharType="end"/>
        </w:r>
      </w:hyperlink>
    </w:p>
    <w:p w14:paraId="78E645D6" w14:textId="77777777" w:rsidR="00770EAE" w:rsidRDefault="00447539">
      <w:pPr>
        <w:pStyle w:val="TOC1"/>
        <w:rPr>
          <w:rFonts w:asciiTheme="minorHAnsi" w:eastAsiaTheme="minorEastAsia" w:hAnsiTheme="minorHAnsi" w:cstheme="minorBidi"/>
          <w:noProof/>
        </w:rPr>
      </w:pPr>
      <w:hyperlink w:anchor="_Toc395526925" w:history="1">
        <w:r w:rsidR="00770EAE" w:rsidRPr="00765FA8">
          <w:rPr>
            <w:rStyle w:val="Hyperlink"/>
            <w:noProof/>
          </w:rPr>
          <w:t>6.</w:t>
        </w:r>
        <w:r w:rsidR="00770EAE">
          <w:rPr>
            <w:rFonts w:asciiTheme="minorHAnsi" w:eastAsiaTheme="minorEastAsia" w:hAnsiTheme="minorHAnsi" w:cstheme="minorBidi"/>
            <w:noProof/>
          </w:rPr>
          <w:tab/>
        </w:r>
        <w:r w:rsidR="00770EAE" w:rsidRPr="00765FA8">
          <w:rPr>
            <w:rStyle w:val="Hyperlink"/>
            <w:noProof/>
          </w:rPr>
          <w:t>References</w:t>
        </w:r>
        <w:r w:rsidR="00770EAE">
          <w:rPr>
            <w:noProof/>
            <w:webHidden/>
          </w:rPr>
          <w:tab/>
        </w:r>
        <w:r w:rsidR="00770EAE">
          <w:rPr>
            <w:noProof/>
            <w:webHidden/>
          </w:rPr>
          <w:fldChar w:fldCharType="begin"/>
        </w:r>
        <w:r w:rsidR="00770EAE">
          <w:rPr>
            <w:noProof/>
            <w:webHidden/>
          </w:rPr>
          <w:instrText xml:space="preserve"> PAGEREF _Toc395526925 \h </w:instrText>
        </w:r>
        <w:r w:rsidR="00770EAE">
          <w:rPr>
            <w:noProof/>
            <w:webHidden/>
          </w:rPr>
        </w:r>
        <w:r w:rsidR="00770EAE">
          <w:rPr>
            <w:noProof/>
            <w:webHidden/>
          </w:rPr>
          <w:fldChar w:fldCharType="separate"/>
        </w:r>
        <w:r w:rsidR="00770EAE">
          <w:rPr>
            <w:noProof/>
            <w:webHidden/>
          </w:rPr>
          <w:t>19</w:t>
        </w:r>
        <w:r w:rsidR="00770EAE">
          <w:rPr>
            <w:noProof/>
            <w:webHidden/>
          </w:rPr>
          <w:fldChar w:fldCharType="end"/>
        </w:r>
      </w:hyperlink>
    </w:p>
    <w:p w14:paraId="78E645D7" w14:textId="77777777" w:rsidR="00770EAE" w:rsidRDefault="00447539">
      <w:pPr>
        <w:pStyle w:val="TOC2"/>
        <w:rPr>
          <w:rFonts w:asciiTheme="minorHAnsi" w:eastAsiaTheme="minorEastAsia" w:hAnsiTheme="minorHAnsi" w:cstheme="minorBidi"/>
          <w:noProof/>
        </w:rPr>
      </w:pPr>
      <w:hyperlink w:anchor="_Toc395526926" w:history="1">
        <w:r w:rsidR="00770EAE" w:rsidRPr="00765FA8">
          <w:rPr>
            <w:rStyle w:val="Hyperlink"/>
            <w:noProof/>
          </w:rPr>
          <w:t>6.1</w:t>
        </w:r>
        <w:r w:rsidR="00770EAE">
          <w:rPr>
            <w:rFonts w:asciiTheme="minorHAnsi" w:eastAsiaTheme="minorEastAsia" w:hAnsiTheme="minorHAnsi" w:cstheme="minorBidi"/>
            <w:noProof/>
          </w:rPr>
          <w:tab/>
        </w:r>
        <w:r w:rsidR="00770EAE" w:rsidRPr="00765FA8">
          <w:rPr>
            <w:rStyle w:val="Hyperlink"/>
            <w:noProof/>
          </w:rPr>
          <w:t>USPAP 6</w:t>
        </w:r>
        <w:r w:rsidR="00770EAE">
          <w:rPr>
            <w:noProof/>
            <w:webHidden/>
          </w:rPr>
          <w:tab/>
        </w:r>
        <w:r w:rsidR="00770EAE">
          <w:rPr>
            <w:noProof/>
            <w:webHidden/>
          </w:rPr>
          <w:fldChar w:fldCharType="begin"/>
        </w:r>
        <w:r w:rsidR="00770EAE">
          <w:rPr>
            <w:noProof/>
            <w:webHidden/>
          </w:rPr>
          <w:instrText xml:space="preserve"> PAGEREF _Toc395526926 \h </w:instrText>
        </w:r>
        <w:r w:rsidR="00770EAE">
          <w:rPr>
            <w:noProof/>
            <w:webHidden/>
          </w:rPr>
        </w:r>
        <w:r w:rsidR="00770EAE">
          <w:rPr>
            <w:noProof/>
            <w:webHidden/>
          </w:rPr>
          <w:fldChar w:fldCharType="separate"/>
        </w:r>
        <w:r w:rsidR="00770EAE">
          <w:rPr>
            <w:noProof/>
            <w:webHidden/>
          </w:rPr>
          <w:t>19</w:t>
        </w:r>
        <w:r w:rsidR="00770EAE">
          <w:rPr>
            <w:noProof/>
            <w:webHidden/>
          </w:rPr>
          <w:fldChar w:fldCharType="end"/>
        </w:r>
      </w:hyperlink>
    </w:p>
    <w:p w14:paraId="78E645D8" w14:textId="77777777" w:rsidR="00770EAE" w:rsidRDefault="00447539">
      <w:pPr>
        <w:pStyle w:val="TOC2"/>
        <w:rPr>
          <w:rFonts w:asciiTheme="minorHAnsi" w:eastAsiaTheme="minorEastAsia" w:hAnsiTheme="minorHAnsi" w:cstheme="minorBidi"/>
          <w:noProof/>
        </w:rPr>
      </w:pPr>
      <w:hyperlink w:anchor="_Toc395526927" w:history="1">
        <w:r w:rsidR="00770EAE" w:rsidRPr="00765FA8">
          <w:rPr>
            <w:rStyle w:val="Hyperlink"/>
            <w:noProof/>
          </w:rPr>
          <w:t>6.2</w:t>
        </w:r>
        <w:r w:rsidR="00770EAE">
          <w:rPr>
            <w:rFonts w:asciiTheme="minorHAnsi" w:eastAsiaTheme="minorEastAsia" w:hAnsiTheme="minorHAnsi" w:cstheme="minorBidi"/>
            <w:noProof/>
          </w:rPr>
          <w:tab/>
        </w:r>
        <w:r w:rsidR="00770EAE" w:rsidRPr="00765FA8">
          <w:rPr>
            <w:rStyle w:val="Hyperlink"/>
            <w:noProof/>
          </w:rPr>
          <w:t>IAAO Procedure on Mass Appraisal</w:t>
        </w:r>
        <w:r w:rsidR="00770EAE">
          <w:rPr>
            <w:noProof/>
            <w:webHidden/>
          </w:rPr>
          <w:tab/>
        </w:r>
        <w:r w:rsidR="00770EAE">
          <w:rPr>
            <w:noProof/>
            <w:webHidden/>
          </w:rPr>
          <w:fldChar w:fldCharType="begin"/>
        </w:r>
        <w:r w:rsidR="00770EAE">
          <w:rPr>
            <w:noProof/>
            <w:webHidden/>
          </w:rPr>
          <w:instrText xml:space="preserve"> PAGEREF _Toc395526927 \h </w:instrText>
        </w:r>
        <w:r w:rsidR="00770EAE">
          <w:rPr>
            <w:noProof/>
            <w:webHidden/>
          </w:rPr>
        </w:r>
        <w:r w:rsidR="00770EAE">
          <w:rPr>
            <w:noProof/>
            <w:webHidden/>
          </w:rPr>
          <w:fldChar w:fldCharType="separate"/>
        </w:r>
        <w:r w:rsidR="00770EAE">
          <w:rPr>
            <w:noProof/>
            <w:webHidden/>
          </w:rPr>
          <w:t>19</w:t>
        </w:r>
        <w:r w:rsidR="00770EAE">
          <w:rPr>
            <w:noProof/>
            <w:webHidden/>
          </w:rPr>
          <w:fldChar w:fldCharType="end"/>
        </w:r>
      </w:hyperlink>
    </w:p>
    <w:p w14:paraId="78E645D9" w14:textId="77777777" w:rsidR="00770EAE" w:rsidRDefault="00447539">
      <w:pPr>
        <w:pStyle w:val="TOC2"/>
        <w:rPr>
          <w:rFonts w:asciiTheme="minorHAnsi" w:eastAsiaTheme="minorEastAsia" w:hAnsiTheme="minorHAnsi" w:cstheme="minorBidi"/>
          <w:noProof/>
        </w:rPr>
      </w:pPr>
      <w:hyperlink w:anchor="_Toc395526928" w:history="1">
        <w:r w:rsidR="00770EAE" w:rsidRPr="00765FA8">
          <w:rPr>
            <w:rStyle w:val="Hyperlink"/>
            <w:noProof/>
          </w:rPr>
          <w:t>6.3</w:t>
        </w:r>
        <w:r w:rsidR="00770EAE">
          <w:rPr>
            <w:rFonts w:asciiTheme="minorHAnsi" w:eastAsiaTheme="minorEastAsia" w:hAnsiTheme="minorHAnsi" w:cstheme="minorBidi"/>
            <w:noProof/>
          </w:rPr>
          <w:tab/>
        </w:r>
        <w:r w:rsidR="00770EAE" w:rsidRPr="00765FA8">
          <w:rPr>
            <w:rStyle w:val="Hyperlink"/>
            <w:noProof/>
          </w:rPr>
          <w:t>Neighborhood Data Form</w:t>
        </w:r>
        <w:r w:rsidR="00770EAE">
          <w:rPr>
            <w:noProof/>
            <w:webHidden/>
          </w:rPr>
          <w:tab/>
        </w:r>
        <w:r w:rsidR="00770EAE">
          <w:rPr>
            <w:noProof/>
            <w:webHidden/>
          </w:rPr>
          <w:fldChar w:fldCharType="begin"/>
        </w:r>
        <w:r w:rsidR="00770EAE">
          <w:rPr>
            <w:noProof/>
            <w:webHidden/>
          </w:rPr>
          <w:instrText xml:space="preserve"> PAGEREF _Toc395526928 \h </w:instrText>
        </w:r>
        <w:r w:rsidR="00770EAE">
          <w:rPr>
            <w:noProof/>
            <w:webHidden/>
          </w:rPr>
        </w:r>
        <w:r w:rsidR="00770EAE">
          <w:rPr>
            <w:noProof/>
            <w:webHidden/>
          </w:rPr>
          <w:fldChar w:fldCharType="separate"/>
        </w:r>
        <w:r w:rsidR="00770EAE">
          <w:rPr>
            <w:noProof/>
            <w:webHidden/>
          </w:rPr>
          <w:t>19</w:t>
        </w:r>
        <w:r w:rsidR="00770EAE">
          <w:rPr>
            <w:noProof/>
            <w:webHidden/>
          </w:rPr>
          <w:fldChar w:fldCharType="end"/>
        </w:r>
      </w:hyperlink>
    </w:p>
    <w:p w14:paraId="78E645DA" w14:textId="77777777" w:rsidR="00770EAE" w:rsidRDefault="00447539">
      <w:pPr>
        <w:pStyle w:val="TOC2"/>
        <w:rPr>
          <w:rFonts w:asciiTheme="minorHAnsi" w:eastAsiaTheme="minorEastAsia" w:hAnsiTheme="minorHAnsi" w:cstheme="minorBidi"/>
          <w:noProof/>
        </w:rPr>
      </w:pPr>
      <w:hyperlink w:anchor="_Toc395526929" w:history="1">
        <w:r w:rsidR="00770EAE" w:rsidRPr="00765FA8">
          <w:rPr>
            <w:rStyle w:val="Hyperlink"/>
            <w:noProof/>
          </w:rPr>
          <w:t>6.4</w:t>
        </w:r>
        <w:r w:rsidR="00770EAE">
          <w:rPr>
            <w:rFonts w:asciiTheme="minorHAnsi" w:eastAsiaTheme="minorEastAsia" w:hAnsiTheme="minorHAnsi" w:cstheme="minorBidi"/>
            <w:noProof/>
          </w:rPr>
          <w:tab/>
        </w:r>
        <w:r w:rsidR="00770EAE" w:rsidRPr="00765FA8">
          <w:rPr>
            <w:rStyle w:val="Hyperlink"/>
            <w:noProof/>
          </w:rPr>
          <w:t>IAAO – www.iaao.org</w:t>
        </w:r>
        <w:r w:rsidR="00770EAE">
          <w:rPr>
            <w:noProof/>
            <w:webHidden/>
          </w:rPr>
          <w:tab/>
        </w:r>
        <w:r w:rsidR="00770EAE">
          <w:rPr>
            <w:noProof/>
            <w:webHidden/>
          </w:rPr>
          <w:fldChar w:fldCharType="begin"/>
        </w:r>
        <w:r w:rsidR="00770EAE">
          <w:rPr>
            <w:noProof/>
            <w:webHidden/>
          </w:rPr>
          <w:instrText xml:space="preserve"> PAGEREF _Toc395526929 \h </w:instrText>
        </w:r>
        <w:r w:rsidR="00770EAE">
          <w:rPr>
            <w:noProof/>
            <w:webHidden/>
          </w:rPr>
        </w:r>
        <w:r w:rsidR="00770EAE">
          <w:rPr>
            <w:noProof/>
            <w:webHidden/>
          </w:rPr>
          <w:fldChar w:fldCharType="separate"/>
        </w:r>
        <w:r w:rsidR="00770EAE">
          <w:rPr>
            <w:noProof/>
            <w:webHidden/>
          </w:rPr>
          <w:t>19</w:t>
        </w:r>
        <w:r w:rsidR="00770EAE">
          <w:rPr>
            <w:noProof/>
            <w:webHidden/>
          </w:rPr>
          <w:fldChar w:fldCharType="end"/>
        </w:r>
      </w:hyperlink>
    </w:p>
    <w:p w14:paraId="78E645DB" w14:textId="77777777" w:rsidR="00770EAE" w:rsidRDefault="00447539">
      <w:pPr>
        <w:pStyle w:val="TOC2"/>
        <w:rPr>
          <w:rFonts w:asciiTheme="minorHAnsi" w:eastAsiaTheme="minorEastAsia" w:hAnsiTheme="minorHAnsi" w:cstheme="minorBidi"/>
          <w:noProof/>
        </w:rPr>
      </w:pPr>
      <w:hyperlink w:anchor="_Toc395526930" w:history="1">
        <w:r w:rsidR="00770EAE" w:rsidRPr="00765FA8">
          <w:rPr>
            <w:rStyle w:val="Hyperlink"/>
            <w:noProof/>
          </w:rPr>
          <w:t>6.5</w:t>
        </w:r>
        <w:r w:rsidR="00770EAE">
          <w:rPr>
            <w:rFonts w:asciiTheme="minorHAnsi" w:eastAsiaTheme="minorEastAsia" w:hAnsiTheme="minorHAnsi" w:cstheme="minorBidi"/>
            <w:noProof/>
          </w:rPr>
          <w:tab/>
        </w:r>
        <w:r w:rsidR="00770EAE" w:rsidRPr="00765FA8">
          <w:rPr>
            <w:rStyle w:val="Hyperlink"/>
            <w:noProof/>
          </w:rPr>
          <w:t>ESRI – www.Esri.com</w:t>
        </w:r>
        <w:r w:rsidR="00770EAE">
          <w:rPr>
            <w:noProof/>
            <w:webHidden/>
          </w:rPr>
          <w:tab/>
        </w:r>
        <w:r w:rsidR="00770EAE">
          <w:rPr>
            <w:noProof/>
            <w:webHidden/>
          </w:rPr>
          <w:fldChar w:fldCharType="begin"/>
        </w:r>
        <w:r w:rsidR="00770EAE">
          <w:rPr>
            <w:noProof/>
            <w:webHidden/>
          </w:rPr>
          <w:instrText xml:space="preserve"> PAGEREF _Toc395526930 \h </w:instrText>
        </w:r>
        <w:r w:rsidR="00770EAE">
          <w:rPr>
            <w:noProof/>
            <w:webHidden/>
          </w:rPr>
        </w:r>
        <w:r w:rsidR="00770EAE">
          <w:rPr>
            <w:noProof/>
            <w:webHidden/>
          </w:rPr>
          <w:fldChar w:fldCharType="separate"/>
        </w:r>
        <w:r w:rsidR="00770EAE">
          <w:rPr>
            <w:noProof/>
            <w:webHidden/>
          </w:rPr>
          <w:t>19</w:t>
        </w:r>
        <w:r w:rsidR="00770EAE">
          <w:rPr>
            <w:noProof/>
            <w:webHidden/>
          </w:rPr>
          <w:fldChar w:fldCharType="end"/>
        </w:r>
      </w:hyperlink>
    </w:p>
    <w:p w14:paraId="78E645DC" w14:textId="77777777" w:rsidR="00770EAE" w:rsidRDefault="00447539">
      <w:pPr>
        <w:pStyle w:val="TOC2"/>
        <w:rPr>
          <w:rFonts w:asciiTheme="minorHAnsi" w:eastAsiaTheme="minorEastAsia" w:hAnsiTheme="minorHAnsi" w:cstheme="minorBidi"/>
          <w:noProof/>
        </w:rPr>
      </w:pPr>
      <w:hyperlink w:anchor="_Toc395526931" w:history="1">
        <w:r w:rsidR="00770EAE" w:rsidRPr="00765FA8">
          <w:rPr>
            <w:rStyle w:val="Hyperlink"/>
            <w:noProof/>
          </w:rPr>
          <w:t>6.6</w:t>
        </w:r>
        <w:r w:rsidR="00770EAE">
          <w:rPr>
            <w:rFonts w:asciiTheme="minorHAnsi" w:eastAsiaTheme="minorEastAsia" w:hAnsiTheme="minorHAnsi" w:cstheme="minorBidi"/>
            <w:noProof/>
          </w:rPr>
          <w:tab/>
        </w:r>
        <w:r w:rsidR="00770EAE" w:rsidRPr="00765FA8">
          <w:rPr>
            <w:rStyle w:val="Hyperlink"/>
            <w:noProof/>
          </w:rPr>
          <w:t>Appraisal Institute – www.appraisalinstitute.org</w:t>
        </w:r>
        <w:r w:rsidR="00770EAE">
          <w:rPr>
            <w:noProof/>
            <w:webHidden/>
          </w:rPr>
          <w:tab/>
        </w:r>
        <w:r w:rsidR="00770EAE">
          <w:rPr>
            <w:noProof/>
            <w:webHidden/>
          </w:rPr>
          <w:fldChar w:fldCharType="begin"/>
        </w:r>
        <w:r w:rsidR="00770EAE">
          <w:rPr>
            <w:noProof/>
            <w:webHidden/>
          </w:rPr>
          <w:instrText xml:space="preserve"> PAGEREF _Toc395526931 \h </w:instrText>
        </w:r>
        <w:r w:rsidR="00770EAE">
          <w:rPr>
            <w:noProof/>
            <w:webHidden/>
          </w:rPr>
        </w:r>
        <w:r w:rsidR="00770EAE">
          <w:rPr>
            <w:noProof/>
            <w:webHidden/>
          </w:rPr>
          <w:fldChar w:fldCharType="separate"/>
        </w:r>
        <w:r w:rsidR="00770EAE">
          <w:rPr>
            <w:noProof/>
            <w:webHidden/>
          </w:rPr>
          <w:t>19</w:t>
        </w:r>
        <w:r w:rsidR="00770EAE">
          <w:rPr>
            <w:noProof/>
            <w:webHidden/>
          </w:rPr>
          <w:fldChar w:fldCharType="end"/>
        </w:r>
      </w:hyperlink>
    </w:p>
    <w:p w14:paraId="78E645DD" w14:textId="77777777" w:rsidR="00770EAE" w:rsidRDefault="00447539">
      <w:pPr>
        <w:pStyle w:val="TOC1"/>
        <w:rPr>
          <w:rFonts w:asciiTheme="minorHAnsi" w:eastAsiaTheme="minorEastAsia" w:hAnsiTheme="minorHAnsi" w:cstheme="minorBidi"/>
          <w:noProof/>
        </w:rPr>
      </w:pPr>
      <w:hyperlink w:anchor="_Toc395526932" w:history="1">
        <w:r w:rsidR="00770EAE" w:rsidRPr="00765FA8">
          <w:rPr>
            <w:rStyle w:val="Hyperlink"/>
            <w:noProof/>
          </w:rPr>
          <w:t>7.</w:t>
        </w:r>
        <w:r w:rsidR="00770EAE">
          <w:rPr>
            <w:rFonts w:asciiTheme="minorHAnsi" w:eastAsiaTheme="minorEastAsia" w:hAnsiTheme="minorHAnsi" w:cstheme="minorBidi"/>
            <w:noProof/>
          </w:rPr>
          <w:tab/>
        </w:r>
        <w:r w:rsidR="00770EAE" w:rsidRPr="00765FA8">
          <w:rPr>
            <w:rStyle w:val="Hyperlink"/>
            <w:noProof/>
          </w:rPr>
          <w:t>Definitions</w:t>
        </w:r>
        <w:r w:rsidR="00770EAE">
          <w:rPr>
            <w:noProof/>
            <w:webHidden/>
          </w:rPr>
          <w:tab/>
        </w:r>
        <w:r w:rsidR="00770EAE">
          <w:rPr>
            <w:noProof/>
            <w:webHidden/>
          </w:rPr>
          <w:fldChar w:fldCharType="begin"/>
        </w:r>
        <w:r w:rsidR="00770EAE">
          <w:rPr>
            <w:noProof/>
            <w:webHidden/>
          </w:rPr>
          <w:instrText xml:space="preserve"> PAGEREF _Toc395526932 \h </w:instrText>
        </w:r>
        <w:r w:rsidR="00770EAE">
          <w:rPr>
            <w:noProof/>
            <w:webHidden/>
          </w:rPr>
        </w:r>
        <w:r w:rsidR="00770EAE">
          <w:rPr>
            <w:noProof/>
            <w:webHidden/>
          </w:rPr>
          <w:fldChar w:fldCharType="separate"/>
        </w:r>
        <w:r w:rsidR="00770EAE">
          <w:rPr>
            <w:noProof/>
            <w:webHidden/>
          </w:rPr>
          <w:t>20</w:t>
        </w:r>
        <w:r w:rsidR="00770EAE">
          <w:rPr>
            <w:noProof/>
            <w:webHidden/>
          </w:rPr>
          <w:fldChar w:fldCharType="end"/>
        </w:r>
      </w:hyperlink>
    </w:p>
    <w:p w14:paraId="78E645DE" w14:textId="77777777" w:rsidR="00386C55" w:rsidRDefault="00801A26" w:rsidP="00801A26">
      <w:pPr>
        <w:rPr>
          <w:rFonts w:ascii="Century Gothic" w:hAnsi="Century Gothic"/>
        </w:rPr>
      </w:pPr>
      <w:r>
        <w:rPr>
          <w:b/>
          <w:bCs/>
          <w:noProof/>
        </w:rPr>
        <w:fldChar w:fldCharType="end"/>
      </w:r>
    </w:p>
    <w:p w14:paraId="78E645DF" w14:textId="77777777" w:rsidR="009361A3" w:rsidRDefault="009361A3" w:rsidP="00386C55">
      <w:pPr>
        <w:ind w:left="1800"/>
        <w:rPr>
          <w:rFonts w:ascii="Century Gothic" w:hAnsi="Century Gothic"/>
        </w:rPr>
        <w:sectPr w:rsidR="009361A3" w:rsidSect="00B17F8A">
          <w:footerReference w:type="default" r:id="rId12"/>
          <w:headerReference w:type="first" r:id="rId13"/>
          <w:pgSz w:w="12240" w:h="15840"/>
          <w:pgMar w:top="810" w:right="1440" w:bottom="1440" w:left="1440" w:header="360" w:footer="720" w:gutter="0"/>
          <w:cols w:space="720"/>
          <w:docGrid w:linePitch="360"/>
        </w:sectPr>
      </w:pPr>
    </w:p>
    <w:p w14:paraId="78E645E0" w14:textId="77777777" w:rsidR="00386C55" w:rsidRDefault="00386C55" w:rsidP="00386C55">
      <w:pPr>
        <w:ind w:left="1800"/>
        <w:rPr>
          <w:rFonts w:ascii="Century Gothic" w:hAnsi="Century Gothic"/>
        </w:rPr>
      </w:pPr>
    </w:p>
    <w:p w14:paraId="78E645E1" w14:textId="77777777" w:rsidR="00386C55" w:rsidRPr="00386C55" w:rsidRDefault="00386C55" w:rsidP="00386C55">
      <w:pPr>
        <w:ind w:left="1800"/>
        <w:rPr>
          <w:rFonts w:ascii="Century Gothic" w:hAnsi="Century Gothic"/>
        </w:rPr>
      </w:pPr>
    </w:p>
    <w:p w14:paraId="78E645E2" w14:textId="77777777" w:rsidR="002915CD" w:rsidRPr="001D77B3" w:rsidRDefault="00386C55" w:rsidP="001D77B3">
      <w:pPr>
        <w:pStyle w:val="Heading1"/>
      </w:pPr>
      <w:r>
        <w:br w:type="page"/>
      </w:r>
      <w:bookmarkStart w:id="1" w:name="_Toc395526913"/>
      <w:r w:rsidR="002915CD" w:rsidRPr="001D77B3">
        <w:lastRenderedPageBreak/>
        <w:t>Scope</w:t>
      </w:r>
      <w:bookmarkEnd w:id="1"/>
    </w:p>
    <w:p w14:paraId="78E645E3" w14:textId="77777777" w:rsidR="009361A3" w:rsidRDefault="002915CD" w:rsidP="00113B77">
      <w:pPr>
        <w:spacing w:line="320" w:lineRule="atLeast"/>
        <w:ind w:left="720" w:firstLine="0"/>
        <w:jc w:val="left"/>
        <w:rPr>
          <w:rFonts w:ascii="Century Gothic" w:hAnsi="Century Gothic"/>
        </w:rPr>
      </w:pPr>
      <w:r w:rsidRPr="002915CD">
        <w:rPr>
          <w:rFonts w:ascii="Century Gothic" w:hAnsi="Century Gothic"/>
        </w:rPr>
        <w:t xml:space="preserve">The </w:t>
      </w:r>
      <w:r w:rsidR="00B17F8A">
        <w:rPr>
          <w:rFonts w:ascii="Century Gothic" w:hAnsi="Century Gothic"/>
        </w:rPr>
        <w:t>procedure</w:t>
      </w:r>
      <w:r>
        <w:rPr>
          <w:rFonts w:ascii="Century Gothic" w:hAnsi="Century Gothic"/>
        </w:rPr>
        <w:t xml:space="preserve"> on neighborhood delineation will define the processes to</w:t>
      </w:r>
      <w:r w:rsidR="00393729">
        <w:rPr>
          <w:rFonts w:ascii="Century Gothic" w:hAnsi="Century Gothic"/>
        </w:rPr>
        <w:t xml:space="preserve"> be </w:t>
      </w:r>
      <w:r>
        <w:rPr>
          <w:rFonts w:ascii="Century Gothic" w:hAnsi="Century Gothic"/>
        </w:rPr>
        <w:t>use</w:t>
      </w:r>
      <w:r w:rsidR="00393729">
        <w:rPr>
          <w:rFonts w:ascii="Century Gothic" w:hAnsi="Century Gothic"/>
        </w:rPr>
        <w:t>d</w:t>
      </w:r>
      <w:r>
        <w:rPr>
          <w:rFonts w:ascii="Century Gothic" w:hAnsi="Century Gothic"/>
        </w:rPr>
        <w:t xml:space="preserve"> in the delineation</w:t>
      </w:r>
      <w:r w:rsidR="00C3387E">
        <w:rPr>
          <w:rFonts w:ascii="Century Gothic" w:hAnsi="Century Gothic"/>
        </w:rPr>
        <w:t xml:space="preserve"> and analysis</w:t>
      </w:r>
      <w:r>
        <w:rPr>
          <w:rFonts w:ascii="Century Gothic" w:hAnsi="Century Gothic"/>
        </w:rPr>
        <w:t xml:space="preserve"> of neighborhoods </w:t>
      </w:r>
      <w:r w:rsidR="00533FC5">
        <w:rPr>
          <w:rFonts w:ascii="Century Gothic" w:hAnsi="Century Gothic"/>
        </w:rPr>
        <w:t xml:space="preserve">for residential and commercial </w:t>
      </w:r>
      <w:r w:rsidR="00DA16FD">
        <w:rPr>
          <w:rFonts w:ascii="Century Gothic" w:hAnsi="Century Gothic"/>
        </w:rPr>
        <w:t xml:space="preserve">(including apartment and industrial) </w:t>
      </w:r>
      <w:r w:rsidR="00533FC5">
        <w:rPr>
          <w:rFonts w:ascii="Century Gothic" w:hAnsi="Century Gothic"/>
        </w:rPr>
        <w:t xml:space="preserve">property </w:t>
      </w:r>
      <w:r w:rsidR="00B17F8A">
        <w:rPr>
          <w:rFonts w:ascii="Century Gothic" w:hAnsi="Century Gothic"/>
        </w:rPr>
        <w:t>in each member jurisdiction of MMRC</w:t>
      </w:r>
      <w:r>
        <w:rPr>
          <w:rFonts w:ascii="Century Gothic" w:hAnsi="Century Gothic"/>
        </w:rPr>
        <w:t xml:space="preserve">.  </w:t>
      </w:r>
      <w:r w:rsidR="00393729">
        <w:rPr>
          <w:rFonts w:ascii="Century Gothic" w:hAnsi="Century Gothic"/>
        </w:rPr>
        <w:t xml:space="preserve"> </w:t>
      </w:r>
      <w:r w:rsidR="00C3387E">
        <w:rPr>
          <w:rFonts w:ascii="Century Gothic" w:hAnsi="Century Gothic"/>
        </w:rPr>
        <w:t>Neighborhood delineation and analysis is a study of fo</w:t>
      </w:r>
      <w:r w:rsidR="00DA7A26">
        <w:rPr>
          <w:rFonts w:ascii="Century Gothic" w:hAnsi="Century Gothic"/>
        </w:rPr>
        <w:t xml:space="preserve">rces or influences </w:t>
      </w:r>
      <w:r w:rsidR="00C3387E">
        <w:rPr>
          <w:rFonts w:ascii="Century Gothic" w:hAnsi="Century Gothic"/>
        </w:rPr>
        <w:t>which could be considered to have an effect on property value.</w:t>
      </w:r>
      <w:r w:rsidR="00113B77">
        <w:rPr>
          <w:rFonts w:ascii="Century Gothic" w:hAnsi="Century Gothic"/>
        </w:rPr>
        <w:t xml:space="preserve">  The neighborhood rating should be a reasonable fit for at least 50 to 70 percent of the </w:t>
      </w:r>
      <w:r w:rsidR="00533FC5">
        <w:rPr>
          <w:rFonts w:ascii="Century Gothic" w:hAnsi="Century Gothic"/>
        </w:rPr>
        <w:t>properties</w:t>
      </w:r>
      <w:r w:rsidR="00113B77">
        <w:rPr>
          <w:rFonts w:ascii="Century Gothic" w:hAnsi="Century Gothic"/>
        </w:rPr>
        <w:t xml:space="preserve"> located in the delineated area.</w:t>
      </w:r>
      <w:r w:rsidR="00D569FB">
        <w:rPr>
          <w:rFonts w:ascii="Century Gothic" w:hAnsi="Century Gothic"/>
        </w:rPr>
        <w:t xml:space="preserve">  The actual scope of the neighborhood delineation will depend on whether there is an existing delineation that needs to be </w:t>
      </w:r>
      <w:r w:rsidR="00770EAE">
        <w:rPr>
          <w:rFonts w:ascii="Century Gothic" w:hAnsi="Century Gothic"/>
        </w:rPr>
        <w:t>fine-tuned</w:t>
      </w:r>
      <w:r w:rsidR="00C10E2B">
        <w:rPr>
          <w:rFonts w:ascii="Century Gothic" w:hAnsi="Century Gothic"/>
        </w:rPr>
        <w:t xml:space="preserve"> or are creat</w:t>
      </w:r>
      <w:r w:rsidR="004F475E">
        <w:rPr>
          <w:rFonts w:ascii="Century Gothic" w:hAnsi="Century Gothic"/>
        </w:rPr>
        <w:t xml:space="preserve">ed </w:t>
      </w:r>
      <w:r w:rsidR="00D569FB">
        <w:rPr>
          <w:rFonts w:ascii="Century Gothic" w:hAnsi="Century Gothic"/>
        </w:rPr>
        <w:t>from scratch.  Either way the basic approach remains the same.</w:t>
      </w:r>
    </w:p>
    <w:p w14:paraId="78E645E4" w14:textId="77777777" w:rsidR="00113B77" w:rsidRDefault="00113B77" w:rsidP="00113B77">
      <w:pPr>
        <w:spacing w:line="320" w:lineRule="atLeast"/>
        <w:ind w:left="720" w:firstLine="0"/>
        <w:jc w:val="left"/>
        <w:rPr>
          <w:rFonts w:ascii="Century Gothic" w:hAnsi="Century Gothic"/>
        </w:rPr>
      </w:pPr>
    </w:p>
    <w:p w14:paraId="78E645E5" w14:textId="77777777" w:rsidR="009361A3" w:rsidRDefault="009361A3" w:rsidP="00113B77">
      <w:pPr>
        <w:spacing w:line="320" w:lineRule="atLeast"/>
        <w:ind w:left="720" w:firstLine="0"/>
        <w:jc w:val="left"/>
        <w:rPr>
          <w:rFonts w:ascii="Century Gothic" w:hAnsi="Century Gothic"/>
        </w:rPr>
      </w:pPr>
    </w:p>
    <w:p w14:paraId="78E645E6" w14:textId="77777777" w:rsidR="009361A3" w:rsidRDefault="009361A3" w:rsidP="00113B77">
      <w:pPr>
        <w:spacing w:line="320" w:lineRule="atLeast"/>
        <w:ind w:left="720" w:firstLine="0"/>
        <w:jc w:val="left"/>
        <w:rPr>
          <w:rFonts w:ascii="Century Gothic" w:hAnsi="Century Gothic"/>
        </w:rPr>
      </w:pPr>
    </w:p>
    <w:p w14:paraId="78E645E7" w14:textId="77777777" w:rsidR="009361A3" w:rsidRDefault="009361A3" w:rsidP="00113B77">
      <w:pPr>
        <w:spacing w:line="320" w:lineRule="atLeast"/>
        <w:ind w:left="720" w:firstLine="0"/>
        <w:jc w:val="left"/>
        <w:rPr>
          <w:rFonts w:ascii="Century Gothic" w:hAnsi="Century Gothic"/>
        </w:rPr>
      </w:pPr>
    </w:p>
    <w:p w14:paraId="78E645E8" w14:textId="77777777" w:rsidR="009361A3" w:rsidRDefault="009361A3" w:rsidP="00113B77">
      <w:pPr>
        <w:spacing w:line="320" w:lineRule="atLeast"/>
        <w:ind w:left="720" w:firstLine="0"/>
        <w:jc w:val="left"/>
        <w:rPr>
          <w:rFonts w:ascii="Century Gothic" w:hAnsi="Century Gothic"/>
        </w:rPr>
      </w:pPr>
    </w:p>
    <w:p w14:paraId="78E645E9" w14:textId="77777777" w:rsidR="009361A3" w:rsidRDefault="009361A3" w:rsidP="00113B77">
      <w:pPr>
        <w:spacing w:line="320" w:lineRule="atLeast"/>
        <w:ind w:left="720" w:firstLine="0"/>
        <w:jc w:val="left"/>
        <w:rPr>
          <w:rFonts w:ascii="Century Gothic" w:hAnsi="Century Gothic"/>
        </w:rPr>
      </w:pPr>
    </w:p>
    <w:p w14:paraId="78E645EA" w14:textId="77777777" w:rsidR="009361A3" w:rsidRDefault="009361A3" w:rsidP="00113B77">
      <w:pPr>
        <w:spacing w:line="320" w:lineRule="atLeast"/>
        <w:ind w:left="720" w:firstLine="0"/>
        <w:jc w:val="left"/>
        <w:rPr>
          <w:rFonts w:ascii="Century Gothic" w:hAnsi="Century Gothic"/>
        </w:rPr>
      </w:pPr>
    </w:p>
    <w:p w14:paraId="78E645EB" w14:textId="77777777" w:rsidR="009361A3" w:rsidRDefault="009361A3" w:rsidP="00113B77">
      <w:pPr>
        <w:spacing w:line="320" w:lineRule="atLeast"/>
        <w:ind w:left="720" w:firstLine="0"/>
        <w:jc w:val="left"/>
        <w:rPr>
          <w:rFonts w:ascii="Century Gothic" w:hAnsi="Century Gothic"/>
        </w:rPr>
      </w:pPr>
    </w:p>
    <w:p w14:paraId="78E645EC" w14:textId="77777777" w:rsidR="009361A3" w:rsidRDefault="009361A3" w:rsidP="00113B77">
      <w:pPr>
        <w:spacing w:line="320" w:lineRule="atLeast"/>
        <w:ind w:left="720" w:firstLine="0"/>
        <w:jc w:val="left"/>
        <w:rPr>
          <w:rFonts w:ascii="Century Gothic" w:hAnsi="Century Gothic"/>
        </w:rPr>
      </w:pPr>
    </w:p>
    <w:p w14:paraId="78E645ED" w14:textId="77777777" w:rsidR="009361A3" w:rsidRDefault="009361A3" w:rsidP="00113B77">
      <w:pPr>
        <w:spacing w:line="320" w:lineRule="atLeast"/>
        <w:ind w:left="720" w:firstLine="0"/>
        <w:jc w:val="left"/>
        <w:rPr>
          <w:rFonts w:ascii="Century Gothic" w:hAnsi="Century Gothic"/>
        </w:rPr>
      </w:pPr>
    </w:p>
    <w:p w14:paraId="78E645EE" w14:textId="77777777" w:rsidR="009361A3" w:rsidRDefault="009361A3" w:rsidP="00113B77">
      <w:pPr>
        <w:spacing w:line="320" w:lineRule="atLeast"/>
        <w:ind w:left="720" w:firstLine="0"/>
        <w:jc w:val="left"/>
        <w:rPr>
          <w:rFonts w:ascii="Century Gothic" w:hAnsi="Century Gothic"/>
        </w:rPr>
      </w:pPr>
    </w:p>
    <w:p w14:paraId="78E645EF" w14:textId="77777777" w:rsidR="009361A3" w:rsidRDefault="009361A3" w:rsidP="00113B77">
      <w:pPr>
        <w:spacing w:line="320" w:lineRule="atLeast"/>
        <w:ind w:left="720" w:firstLine="0"/>
        <w:jc w:val="left"/>
        <w:rPr>
          <w:rFonts w:ascii="Century Gothic" w:hAnsi="Century Gothic"/>
        </w:rPr>
      </w:pPr>
    </w:p>
    <w:p w14:paraId="78E645F0" w14:textId="77777777" w:rsidR="009361A3" w:rsidRDefault="009361A3" w:rsidP="00113B77">
      <w:pPr>
        <w:spacing w:line="320" w:lineRule="atLeast"/>
        <w:ind w:left="720" w:firstLine="0"/>
        <w:jc w:val="left"/>
        <w:rPr>
          <w:rFonts w:ascii="Century Gothic" w:hAnsi="Century Gothic"/>
        </w:rPr>
      </w:pPr>
    </w:p>
    <w:p w14:paraId="78E645F1" w14:textId="77777777" w:rsidR="009361A3" w:rsidRDefault="009361A3" w:rsidP="00113B77">
      <w:pPr>
        <w:spacing w:line="320" w:lineRule="atLeast"/>
        <w:ind w:left="720" w:firstLine="0"/>
        <w:jc w:val="left"/>
        <w:rPr>
          <w:rFonts w:ascii="Century Gothic" w:hAnsi="Century Gothic"/>
        </w:rPr>
      </w:pPr>
    </w:p>
    <w:p w14:paraId="78E645F2" w14:textId="77777777" w:rsidR="009361A3" w:rsidRDefault="009361A3" w:rsidP="00113B77">
      <w:pPr>
        <w:spacing w:line="320" w:lineRule="atLeast"/>
        <w:ind w:left="720" w:firstLine="0"/>
        <w:jc w:val="left"/>
        <w:rPr>
          <w:rFonts w:ascii="Century Gothic" w:hAnsi="Century Gothic"/>
        </w:rPr>
      </w:pPr>
    </w:p>
    <w:p w14:paraId="78E645F3" w14:textId="77777777" w:rsidR="009361A3" w:rsidRDefault="009361A3" w:rsidP="00113B77">
      <w:pPr>
        <w:spacing w:line="320" w:lineRule="atLeast"/>
        <w:ind w:left="720" w:firstLine="0"/>
        <w:jc w:val="left"/>
        <w:rPr>
          <w:rFonts w:ascii="Century Gothic" w:hAnsi="Century Gothic"/>
        </w:rPr>
      </w:pPr>
    </w:p>
    <w:p w14:paraId="78E645F4" w14:textId="77777777" w:rsidR="009361A3" w:rsidRDefault="009361A3" w:rsidP="00113B77">
      <w:pPr>
        <w:spacing w:line="320" w:lineRule="atLeast"/>
        <w:ind w:left="720" w:firstLine="0"/>
        <w:jc w:val="left"/>
        <w:rPr>
          <w:rFonts w:ascii="Century Gothic" w:hAnsi="Century Gothic"/>
        </w:rPr>
      </w:pPr>
    </w:p>
    <w:p w14:paraId="78E645F5" w14:textId="77777777" w:rsidR="00113B77" w:rsidRPr="00113B77" w:rsidRDefault="004E2913" w:rsidP="001D77B3">
      <w:pPr>
        <w:pStyle w:val="Heading1"/>
      </w:pPr>
      <w:bookmarkStart w:id="2" w:name="_Toc395526914"/>
      <w:r>
        <w:t>Introduction</w:t>
      </w:r>
      <w:bookmarkEnd w:id="2"/>
    </w:p>
    <w:p w14:paraId="78E645F6" w14:textId="77777777" w:rsidR="00113B77" w:rsidRDefault="00113B77" w:rsidP="00393729">
      <w:pPr>
        <w:spacing w:line="320" w:lineRule="atLeast"/>
        <w:ind w:left="720" w:firstLine="0"/>
        <w:jc w:val="left"/>
        <w:rPr>
          <w:rFonts w:ascii="Century Gothic" w:hAnsi="Century Gothic"/>
        </w:rPr>
      </w:pPr>
      <w:r>
        <w:rPr>
          <w:rFonts w:ascii="Century Gothic" w:hAnsi="Century Gothic"/>
        </w:rPr>
        <w:t xml:space="preserve">Depending on whether the delineation is to be used </w:t>
      </w:r>
      <w:r w:rsidR="00F91C81">
        <w:rPr>
          <w:rFonts w:ascii="Century Gothic" w:hAnsi="Century Gothic"/>
        </w:rPr>
        <w:t>as part of the</w:t>
      </w:r>
      <w:r>
        <w:rPr>
          <w:rFonts w:ascii="Century Gothic" w:hAnsi="Century Gothic"/>
        </w:rPr>
        <w:t xml:space="preserve"> cost </w:t>
      </w:r>
      <w:r w:rsidR="00F91C81">
        <w:rPr>
          <w:rFonts w:ascii="Century Gothic" w:hAnsi="Century Gothic"/>
        </w:rPr>
        <w:t>approach, income approach,</w:t>
      </w:r>
      <w:r>
        <w:rPr>
          <w:rFonts w:ascii="Century Gothic" w:hAnsi="Century Gothic"/>
        </w:rPr>
        <w:t xml:space="preserve"> market </w:t>
      </w:r>
      <w:r w:rsidR="00F91C81">
        <w:rPr>
          <w:rFonts w:ascii="Century Gothic" w:hAnsi="Century Gothic"/>
        </w:rPr>
        <w:t>approach</w:t>
      </w:r>
      <w:r>
        <w:rPr>
          <w:rFonts w:ascii="Century Gothic" w:hAnsi="Century Gothic"/>
        </w:rPr>
        <w:t xml:space="preserve"> </w:t>
      </w:r>
      <w:r w:rsidR="00F91C81">
        <w:rPr>
          <w:rFonts w:ascii="Century Gothic" w:hAnsi="Century Gothic"/>
        </w:rPr>
        <w:t>a combination thereof</w:t>
      </w:r>
      <w:r>
        <w:rPr>
          <w:rFonts w:ascii="Century Gothic" w:hAnsi="Century Gothic"/>
        </w:rPr>
        <w:t>, the neighborhood delineation serves t</w:t>
      </w:r>
      <w:r w:rsidR="008C1F22">
        <w:rPr>
          <w:rFonts w:ascii="Century Gothic" w:hAnsi="Century Gothic"/>
        </w:rPr>
        <w:t>wo</w:t>
      </w:r>
      <w:r>
        <w:rPr>
          <w:rFonts w:ascii="Century Gothic" w:hAnsi="Century Gothic"/>
        </w:rPr>
        <w:t xml:space="preserve"> main purposes:</w:t>
      </w:r>
    </w:p>
    <w:p w14:paraId="78E645F7" w14:textId="77777777" w:rsidR="00F91C81" w:rsidRDefault="00113B77" w:rsidP="00F91C81">
      <w:pPr>
        <w:spacing w:line="320" w:lineRule="atLeast"/>
        <w:ind w:left="1080" w:hanging="360"/>
        <w:jc w:val="left"/>
        <w:rPr>
          <w:rFonts w:ascii="Century Gothic" w:hAnsi="Century Gothic"/>
        </w:rPr>
      </w:pPr>
      <w:r>
        <w:rPr>
          <w:rFonts w:ascii="Century Gothic" w:hAnsi="Century Gothic"/>
        </w:rPr>
        <w:t xml:space="preserve">1.  </w:t>
      </w:r>
      <w:r>
        <w:rPr>
          <w:rFonts w:ascii="Century Gothic" w:hAnsi="Century Gothic"/>
        </w:rPr>
        <w:tab/>
      </w:r>
      <w:r w:rsidR="00F91C81">
        <w:rPr>
          <w:rFonts w:ascii="Century Gothic" w:hAnsi="Century Gothic"/>
        </w:rPr>
        <w:t xml:space="preserve">Provides a geographical basis for the creation of land value tables, building depreciation tables, </w:t>
      </w:r>
      <w:r w:rsidR="008C1F22">
        <w:rPr>
          <w:rFonts w:ascii="Century Gothic" w:hAnsi="Century Gothic"/>
        </w:rPr>
        <w:t xml:space="preserve">income approach tables, </w:t>
      </w:r>
      <w:r w:rsidR="00F91C81">
        <w:rPr>
          <w:rFonts w:ascii="Century Gothic" w:hAnsi="Century Gothic"/>
        </w:rPr>
        <w:t xml:space="preserve">value modifiers, comparable </w:t>
      </w:r>
      <w:r w:rsidR="008C1F22">
        <w:rPr>
          <w:rFonts w:ascii="Century Gothic" w:hAnsi="Century Gothic"/>
        </w:rPr>
        <w:t xml:space="preserve">sales </w:t>
      </w:r>
      <w:r w:rsidR="00F91C81">
        <w:rPr>
          <w:rFonts w:ascii="Century Gothic" w:hAnsi="Century Gothic"/>
        </w:rPr>
        <w:t>selection</w:t>
      </w:r>
      <w:r w:rsidR="008C1F22">
        <w:rPr>
          <w:rFonts w:ascii="Century Gothic" w:hAnsi="Century Gothic"/>
        </w:rPr>
        <w:t>,</w:t>
      </w:r>
      <w:r w:rsidR="00F91C81">
        <w:rPr>
          <w:rFonts w:ascii="Century Gothic" w:hAnsi="Century Gothic"/>
        </w:rPr>
        <w:t xml:space="preserve"> and </w:t>
      </w:r>
      <w:r w:rsidR="008C1F22">
        <w:rPr>
          <w:rFonts w:ascii="Century Gothic" w:hAnsi="Century Gothic"/>
        </w:rPr>
        <w:t xml:space="preserve">MRA (multiple regression analysis) </w:t>
      </w:r>
      <w:r w:rsidR="00F91C81">
        <w:rPr>
          <w:rFonts w:ascii="Century Gothic" w:hAnsi="Century Gothic"/>
        </w:rPr>
        <w:t>market models.</w:t>
      </w:r>
    </w:p>
    <w:p w14:paraId="78E645F8" w14:textId="77777777" w:rsidR="00113B77" w:rsidRDefault="00113B77" w:rsidP="00113B77">
      <w:pPr>
        <w:spacing w:line="320" w:lineRule="atLeast"/>
        <w:ind w:left="1080" w:hanging="360"/>
        <w:jc w:val="left"/>
        <w:rPr>
          <w:rFonts w:ascii="Century Gothic" w:hAnsi="Century Gothic"/>
        </w:rPr>
      </w:pPr>
      <w:r>
        <w:rPr>
          <w:rFonts w:ascii="Century Gothic" w:hAnsi="Century Gothic"/>
        </w:rPr>
        <w:t>2.  Provide</w:t>
      </w:r>
      <w:r w:rsidR="00D522A9">
        <w:rPr>
          <w:rFonts w:ascii="Century Gothic" w:hAnsi="Century Gothic"/>
        </w:rPr>
        <w:t>s</w:t>
      </w:r>
      <w:r>
        <w:rPr>
          <w:rFonts w:ascii="Century Gothic" w:hAnsi="Century Gothic"/>
        </w:rPr>
        <w:t xml:space="preserve"> a geographic area to use as a </w:t>
      </w:r>
      <w:r w:rsidR="008C1F22">
        <w:rPr>
          <w:rFonts w:ascii="Century Gothic" w:hAnsi="Century Gothic"/>
        </w:rPr>
        <w:t>data set</w:t>
      </w:r>
      <w:r>
        <w:rPr>
          <w:rFonts w:ascii="Century Gothic" w:hAnsi="Century Gothic"/>
        </w:rPr>
        <w:t xml:space="preserve"> for </w:t>
      </w:r>
      <w:r w:rsidR="008C1F22">
        <w:rPr>
          <w:rFonts w:ascii="Century Gothic" w:hAnsi="Century Gothic"/>
        </w:rPr>
        <w:t xml:space="preserve">measuring change in value levels over time for the purposes of quality measurement, trending of values by neighborhood (where practiced,) and other statistical reporting, such as on typical structures and value ranges. </w:t>
      </w:r>
    </w:p>
    <w:p w14:paraId="78E645F9" w14:textId="77777777" w:rsidR="00D522A9" w:rsidRDefault="00D522A9" w:rsidP="00D522A9">
      <w:pPr>
        <w:spacing w:line="320" w:lineRule="atLeast"/>
        <w:ind w:left="720" w:firstLine="0"/>
        <w:jc w:val="left"/>
        <w:rPr>
          <w:rFonts w:ascii="Century Gothic" w:hAnsi="Century Gothic"/>
        </w:rPr>
      </w:pPr>
      <w:r>
        <w:rPr>
          <w:rFonts w:ascii="Century Gothic" w:hAnsi="Century Gothic"/>
        </w:rPr>
        <w:t xml:space="preserve">If the primary approach to value is the cost method, the neighborhood delineation should consider variables that more directly impact the cost value.  These may include year built, effective age, </w:t>
      </w:r>
      <w:r w:rsidR="00B540C8">
        <w:rPr>
          <w:rFonts w:ascii="Century Gothic" w:hAnsi="Century Gothic"/>
        </w:rPr>
        <w:t xml:space="preserve">exterior wall type, </w:t>
      </w:r>
      <w:r>
        <w:rPr>
          <w:rFonts w:ascii="Century Gothic" w:hAnsi="Century Gothic"/>
        </w:rPr>
        <w:t xml:space="preserve">SFLA, FBLA, physical condition and so on.  If the market comparable approach is the primary valuation </w:t>
      </w:r>
      <w:r>
        <w:rPr>
          <w:rFonts w:ascii="Century Gothic" w:hAnsi="Century Gothic"/>
        </w:rPr>
        <w:lastRenderedPageBreak/>
        <w:t xml:space="preserve">method, the delineation should consider variables that are market driven.  These may include style, grade, </w:t>
      </w:r>
      <w:r w:rsidR="00B540C8">
        <w:rPr>
          <w:rFonts w:ascii="Century Gothic" w:hAnsi="Century Gothic"/>
        </w:rPr>
        <w:t>neighborhood desirability and median sale price.</w:t>
      </w:r>
    </w:p>
    <w:p w14:paraId="78E645FA" w14:textId="77777777" w:rsidR="00393729" w:rsidRDefault="00393729" w:rsidP="00393729">
      <w:pPr>
        <w:spacing w:line="320" w:lineRule="atLeast"/>
        <w:ind w:left="720" w:firstLine="0"/>
        <w:jc w:val="left"/>
        <w:rPr>
          <w:rFonts w:ascii="Century Gothic" w:hAnsi="Century Gothic"/>
        </w:rPr>
      </w:pPr>
      <w:r>
        <w:rPr>
          <w:rFonts w:ascii="Century Gothic" w:hAnsi="Century Gothic"/>
        </w:rPr>
        <w:t xml:space="preserve">The International Association of Assessing Officers (IAAO) defines </w:t>
      </w:r>
      <w:r w:rsidR="00F9070F">
        <w:rPr>
          <w:rFonts w:ascii="Century Gothic" w:hAnsi="Century Gothic"/>
        </w:rPr>
        <w:t>a neighborhoo</w:t>
      </w:r>
      <w:r>
        <w:rPr>
          <w:rFonts w:ascii="Century Gothic" w:hAnsi="Century Gothic"/>
        </w:rPr>
        <w:t>d as:</w:t>
      </w:r>
    </w:p>
    <w:p w14:paraId="78E645FB" w14:textId="77777777" w:rsidR="00F9070F" w:rsidRDefault="00393729" w:rsidP="00393729">
      <w:pPr>
        <w:spacing w:line="320" w:lineRule="atLeast"/>
        <w:ind w:left="720" w:firstLine="0"/>
        <w:jc w:val="left"/>
        <w:rPr>
          <w:rFonts w:ascii="Century Gothic" w:hAnsi="Century Gothic"/>
        </w:rPr>
      </w:pPr>
      <w:r>
        <w:rPr>
          <w:rFonts w:ascii="Century Gothic" w:hAnsi="Century Gothic"/>
        </w:rPr>
        <w:t>“</w:t>
      </w:r>
      <w:r w:rsidR="00F9070F">
        <w:rPr>
          <w:rFonts w:ascii="Century Gothic" w:hAnsi="Century Gothic"/>
        </w:rPr>
        <w:t>…the environment of a subject property that has a direct and immediate impact on its value.”</w:t>
      </w:r>
      <w:r w:rsidR="00F9070F" w:rsidRPr="00F9070F">
        <w:rPr>
          <w:rFonts w:ascii="Century Gothic" w:hAnsi="Century Gothic"/>
          <w:vertAlign w:val="superscript"/>
        </w:rPr>
        <w:t>1</w:t>
      </w:r>
      <w:r w:rsidR="00F9070F">
        <w:rPr>
          <w:rFonts w:ascii="Century Gothic" w:hAnsi="Century Gothic"/>
          <w:vertAlign w:val="superscript"/>
        </w:rPr>
        <w:t xml:space="preserve">  </w:t>
      </w:r>
      <w:r w:rsidR="00F9070F">
        <w:rPr>
          <w:rFonts w:ascii="Century Gothic" w:hAnsi="Century Gothic"/>
        </w:rPr>
        <w:t xml:space="preserve">  </w:t>
      </w:r>
    </w:p>
    <w:p w14:paraId="78E645FC" w14:textId="77777777" w:rsidR="00C3387E" w:rsidRDefault="00C3387E" w:rsidP="00393729">
      <w:pPr>
        <w:spacing w:line="320" w:lineRule="atLeast"/>
        <w:ind w:left="720" w:firstLine="0"/>
        <w:jc w:val="left"/>
        <w:rPr>
          <w:rFonts w:ascii="Century Gothic" w:hAnsi="Century Gothic"/>
        </w:rPr>
      </w:pPr>
      <w:r>
        <w:rPr>
          <w:rFonts w:ascii="Century Gothic" w:hAnsi="Century Gothic"/>
        </w:rPr>
        <w:t>For our purposes a “neighborhood” may be defined as;</w:t>
      </w:r>
      <w:r>
        <w:rPr>
          <w:rFonts w:ascii="Century Gothic" w:hAnsi="Century Gothic"/>
        </w:rPr>
        <w:tab/>
      </w:r>
    </w:p>
    <w:p w14:paraId="78E645FD" w14:textId="77777777" w:rsidR="00C3387E" w:rsidRDefault="00C3387E" w:rsidP="00393729">
      <w:pPr>
        <w:spacing w:line="320" w:lineRule="atLeast"/>
        <w:ind w:left="720" w:firstLine="0"/>
        <w:jc w:val="left"/>
        <w:rPr>
          <w:rFonts w:ascii="Century Gothic" w:hAnsi="Century Gothic"/>
        </w:rPr>
      </w:pPr>
      <w:r>
        <w:rPr>
          <w:rFonts w:ascii="Century Gothic" w:hAnsi="Century Gothic"/>
        </w:rPr>
        <w:t>“…as the largest geographic grouping of properties where the significant economic forces of those properties are generally uniform”.</w:t>
      </w:r>
    </w:p>
    <w:p w14:paraId="78E645FE" w14:textId="77777777" w:rsidR="00393729" w:rsidRDefault="00F9070F" w:rsidP="00393729">
      <w:pPr>
        <w:spacing w:line="320" w:lineRule="atLeast"/>
        <w:ind w:left="720" w:firstLine="0"/>
        <w:jc w:val="left"/>
        <w:rPr>
          <w:rFonts w:ascii="Century Gothic" w:hAnsi="Century Gothic"/>
        </w:rPr>
      </w:pPr>
      <w:r>
        <w:rPr>
          <w:rFonts w:ascii="Century Gothic" w:hAnsi="Century Gothic"/>
        </w:rPr>
        <w:t xml:space="preserve">The three types of neighborhood boundaries are </w:t>
      </w:r>
      <w:r w:rsidR="007E4F42">
        <w:rPr>
          <w:rFonts w:ascii="Century Gothic" w:hAnsi="Century Gothic"/>
        </w:rPr>
        <w:t xml:space="preserve">natural, man-made and </w:t>
      </w:r>
      <w:r>
        <w:rPr>
          <w:rFonts w:ascii="Century Gothic" w:hAnsi="Century Gothic"/>
        </w:rPr>
        <w:t>political.</w:t>
      </w:r>
      <w:r w:rsidR="007E4F42">
        <w:rPr>
          <w:rFonts w:ascii="Century Gothic" w:hAnsi="Century Gothic"/>
        </w:rPr>
        <w:t xml:space="preserve">  </w:t>
      </w:r>
      <w:r w:rsidR="007E4F42" w:rsidRPr="00C3387E">
        <w:rPr>
          <w:rFonts w:ascii="Century Gothic" w:hAnsi="Century Gothic"/>
          <w:u w:val="single"/>
        </w:rPr>
        <w:t>Natural boundaries</w:t>
      </w:r>
      <w:r w:rsidR="007E4F42">
        <w:rPr>
          <w:rFonts w:ascii="Century Gothic" w:hAnsi="Century Gothic"/>
        </w:rPr>
        <w:t xml:space="preserve"> are physical in nature like rivers, hills, lakes and ravines.  </w:t>
      </w:r>
      <w:r w:rsidR="007E4F42" w:rsidRPr="00C3387E">
        <w:rPr>
          <w:rFonts w:ascii="Century Gothic" w:hAnsi="Century Gothic"/>
          <w:u w:val="single"/>
        </w:rPr>
        <w:t>Man made boundaries</w:t>
      </w:r>
      <w:r w:rsidR="007E4F42">
        <w:rPr>
          <w:rFonts w:ascii="Century Gothic" w:hAnsi="Century Gothic"/>
        </w:rPr>
        <w:t xml:space="preserve"> include stre</w:t>
      </w:r>
      <w:r w:rsidR="00560304">
        <w:rPr>
          <w:rFonts w:ascii="Century Gothic" w:hAnsi="Century Gothic"/>
        </w:rPr>
        <w:t>ets, highways, railroad tracks,</w:t>
      </w:r>
      <w:r w:rsidR="007E4F42">
        <w:rPr>
          <w:rFonts w:ascii="Century Gothic" w:hAnsi="Century Gothic"/>
        </w:rPr>
        <w:t xml:space="preserve"> utility right-of-ways</w:t>
      </w:r>
      <w:r w:rsidR="00560304">
        <w:rPr>
          <w:rFonts w:ascii="Century Gothic" w:hAnsi="Century Gothic"/>
        </w:rPr>
        <w:t xml:space="preserve"> and subdivision lines</w:t>
      </w:r>
      <w:r w:rsidR="007E4F42">
        <w:rPr>
          <w:rFonts w:ascii="Century Gothic" w:hAnsi="Century Gothic"/>
        </w:rPr>
        <w:t xml:space="preserve">.  </w:t>
      </w:r>
      <w:r w:rsidR="007E4F42" w:rsidRPr="00C3387E">
        <w:rPr>
          <w:rFonts w:ascii="Century Gothic" w:hAnsi="Century Gothic"/>
          <w:u w:val="single"/>
        </w:rPr>
        <w:t>Political boundaries</w:t>
      </w:r>
      <w:r w:rsidR="007E4F42">
        <w:rPr>
          <w:rFonts w:ascii="Century Gothic" w:hAnsi="Century Gothic"/>
        </w:rPr>
        <w:t xml:space="preserve"> are established by governmental entities and include school districts, zoning restriction and jurisdictional boundaries.</w:t>
      </w:r>
    </w:p>
    <w:p w14:paraId="78E645FF" w14:textId="77777777" w:rsidR="001704A8" w:rsidRDefault="001704A8" w:rsidP="00393729">
      <w:pPr>
        <w:spacing w:line="320" w:lineRule="atLeast"/>
        <w:ind w:left="720" w:firstLine="0"/>
        <w:jc w:val="left"/>
        <w:rPr>
          <w:rFonts w:ascii="Century Gothic" w:hAnsi="Century Gothic"/>
        </w:rPr>
      </w:pPr>
    </w:p>
    <w:p w14:paraId="78E64600" w14:textId="77777777" w:rsidR="001D77B3" w:rsidRDefault="00560304" w:rsidP="001D77B3">
      <w:pPr>
        <w:pStyle w:val="Heading1"/>
      </w:pPr>
      <w:bookmarkStart w:id="3" w:name="_Toc395526915"/>
      <w:r>
        <w:t>Data to be analyzed</w:t>
      </w:r>
      <w:bookmarkEnd w:id="3"/>
    </w:p>
    <w:p w14:paraId="78E64601" w14:textId="77777777" w:rsidR="002E42BB" w:rsidRPr="004D2C28" w:rsidRDefault="002E42BB" w:rsidP="004D2C28">
      <w:pPr>
        <w:pStyle w:val="Heading2"/>
      </w:pPr>
      <w:bookmarkStart w:id="4" w:name="_Toc395526916"/>
      <w:r w:rsidRPr="004D2C28">
        <w:t>External Data</w:t>
      </w:r>
      <w:bookmarkEnd w:id="4"/>
    </w:p>
    <w:p w14:paraId="78E64602" w14:textId="77777777" w:rsidR="001111C4" w:rsidRDefault="00560304" w:rsidP="001111C4">
      <w:pPr>
        <w:spacing w:line="140" w:lineRule="atLeast"/>
        <w:ind w:left="720" w:firstLine="0"/>
        <w:jc w:val="left"/>
        <w:rPr>
          <w:rFonts w:ascii="Century Gothic" w:hAnsi="Century Gothic"/>
        </w:rPr>
      </w:pPr>
      <w:r>
        <w:rPr>
          <w:rFonts w:ascii="Century Gothic" w:hAnsi="Century Gothic"/>
        </w:rPr>
        <w:t>To meet the IAAO definition of a “neighborhood” one needs to compare</w:t>
      </w:r>
      <w:r w:rsidR="00C3387E">
        <w:rPr>
          <w:rFonts w:ascii="Century Gothic" w:hAnsi="Century Gothic"/>
        </w:rPr>
        <w:t xml:space="preserve"> </w:t>
      </w:r>
      <w:r w:rsidR="00CD4DF9">
        <w:rPr>
          <w:rFonts w:ascii="Century Gothic" w:hAnsi="Century Gothic"/>
        </w:rPr>
        <w:t>components influencing value.  Those four factors are:  physical, economic, governmental and social</w:t>
      </w:r>
      <w:r w:rsidR="00B540C8">
        <w:rPr>
          <w:rFonts w:ascii="Century Gothic" w:hAnsi="Century Gothic"/>
        </w:rPr>
        <w:t xml:space="preserve">. </w:t>
      </w:r>
    </w:p>
    <w:p w14:paraId="78E64603" w14:textId="77777777" w:rsidR="001111C4" w:rsidRDefault="001111C4" w:rsidP="001111C4">
      <w:pPr>
        <w:spacing w:line="320" w:lineRule="atLeast"/>
        <w:ind w:left="720" w:firstLine="0"/>
        <w:jc w:val="left"/>
        <w:rPr>
          <w:rFonts w:ascii="Century Gothic" w:hAnsi="Century Gothic"/>
        </w:rPr>
      </w:pPr>
      <w:r>
        <w:rPr>
          <w:rFonts w:ascii="Century Gothic" w:hAnsi="Century Gothic"/>
        </w:rPr>
        <w:t>A brief discussion of each:</w:t>
      </w:r>
    </w:p>
    <w:p w14:paraId="78E64604" w14:textId="77777777" w:rsidR="00CD4DF9" w:rsidRDefault="00386C55" w:rsidP="00CD4DF9">
      <w:pPr>
        <w:ind w:left="720" w:firstLine="0"/>
        <w:jc w:val="left"/>
        <w:rPr>
          <w:rFonts w:ascii="Century Gothic" w:hAnsi="Century Gothic"/>
        </w:rPr>
      </w:pPr>
      <w:r>
        <w:rPr>
          <w:rFonts w:ascii="Century Gothic" w:hAnsi="Century Gothic"/>
          <w:u w:val="single"/>
        </w:rPr>
        <w:lastRenderedPageBreak/>
        <w:t>Physical</w:t>
      </w:r>
      <w:r>
        <w:rPr>
          <w:rFonts w:ascii="Century Gothic" w:hAnsi="Century Gothic"/>
        </w:rPr>
        <w:t xml:space="preserve"> – The most obvious physical factor is </w:t>
      </w:r>
      <w:r>
        <w:rPr>
          <w:rFonts w:ascii="Century Gothic" w:hAnsi="Century Gothic"/>
          <w:i/>
        </w:rPr>
        <w:t>location</w:t>
      </w:r>
      <w:r>
        <w:rPr>
          <w:rFonts w:ascii="Century Gothic" w:hAnsi="Century Gothic"/>
        </w:rPr>
        <w:t xml:space="preserve">.  Virtually all other influences are secondary to location.  Other physical factors include </w:t>
      </w:r>
      <w:r w:rsidR="00CD4DF9">
        <w:rPr>
          <w:rFonts w:ascii="Century Gothic" w:hAnsi="Century Gothic"/>
        </w:rPr>
        <w:t xml:space="preserve">topography, </w:t>
      </w:r>
      <w:r w:rsidR="00816F4B">
        <w:rPr>
          <w:rFonts w:ascii="Century Gothic" w:hAnsi="Century Gothic"/>
        </w:rPr>
        <w:t xml:space="preserve">availability of utilities, traffic patterns, existence of sidewalks </w:t>
      </w:r>
      <w:r w:rsidR="00533FC5">
        <w:rPr>
          <w:rFonts w:ascii="Century Gothic" w:hAnsi="Century Gothic"/>
        </w:rPr>
        <w:t xml:space="preserve">and paved roads and nearness </w:t>
      </w:r>
      <w:r w:rsidR="00816F4B">
        <w:rPr>
          <w:rFonts w:ascii="Century Gothic" w:hAnsi="Century Gothic"/>
        </w:rPr>
        <w:t>shopping, schools and churches</w:t>
      </w:r>
      <w:r w:rsidR="00533FC5">
        <w:rPr>
          <w:rFonts w:ascii="Century Gothic" w:hAnsi="Century Gothic"/>
        </w:rPr>
        <w:t xml:space="preserve"> for residential property and a workforce, customer base, and transportation for commercial properties</w:t>
      </w:r>
      <w:r w:rsidR="00816F4B">
        <w:rPr>
          <w:rFonts w:ascii="Century Gothic" w:hAnsi="Century Gothic"/>
        </w:rPr>
        <w:t>.  Another important physical factor is the simil</w:t>
      </w:r>
      <w:r w:rsidR="0097350E">
        <w:rPr>
          <w:rFonts w:ascii="Century Gothic" w:hAnsi="Century Gothic"/>
        </w:rPr>
        <w:t>arity of property</w:t>
      </w:r>
      <w:r w:rsidR="00816F4B">
        <w:rPr>
          <w:rFonts w:ascii="Century Gothic" w:hAnsi="Century Gothic"/>
        </w:rPr>
        <w:t xml:space="preserve"> characteristics (age, </w:t>
      </w:r>
      <w:r w:rsidR="00533FC5">
        <w:rPr>
          <w:rFonts w:ascii="Century Gothic" w:hAnsi="Century Gothic"/>
        </w:rPr>
        <w:t xml:space="preserve">use, </w:t>
      </w:r>
      <w:r w:rsidR="00816F4B">
        <w:rPr>
          <w:rFonts w:ascii="Century Gothic" w:hAnsi="Century Gothic"/>
        </w:rPr>
        <w:t>style, quality of construction, physical condition</w:t>
      </w:r>
      <w:r w:rsidR="00533FC5">
        <w:rPr>
          <w:rFonts w:ascii="Century Gothic" w:hAnsi="Century Gothic"/>
        </w:rPr>
        <w:t>,</w:t>
      </w:r>
      <w:r w:rsidR="00816F4B">
        <w:rPr>
          <w:rFonts w:ascii="Century Gothic" w:hAnsi="Century Gothic"/>
        </w:rPr>
        <w:t xml:space="preserve"> </w:t>
      </w:r>
      <w:r w:rsidR="0097350E">
        <w:rPr>
          <w:rFonts w:ascii="Century Gothic" w:hAnsi="Century Gothic"/>
        </w:rPr>
        <w:t xml:space="preserve">size of land </w:t>
      </w:r>
      <w:r w:rsidR="00816F4B">
        <w:rPr>
          <w:rFonts w:ascii="Century Gothic" w:hAnsi="Century Gothic"/>
        </w:rPr>
        <w:t>etc.).</w:t>
      </w:r>
    </w:p>
    <w:p w14:paraId="78E64605" w14:textId="77777777" w:rsidR="002E42BB" w:rsidRDefault="002E42BB" w:rsidP="00CD4DF9">
      <w:pPr>
        <w:ind w:left="720" w:firstLine="0"/>
        <w:jc w:val="left"/>
        <w:rPr>
          <w:rFonts w:ascii="Century Gothic" w:hAnsi="Century Gothic"/>
        </w:rPr>
      </w:pPr>
      <w:r>
        <w:rPr>
          <w:rFonts w:ascii="Century Gothic" w:hAnsi="Century Gothic"/>
        </w:rPr>
        <w:t>Physical data can be collected during data collection in the case of property characteristics and many of the other data can be obtained using zoning maps, GIS, ortho or street-level photography or websites that provide geographical information.</w:t>
      </w:r>
    </w:p>
    <w:p w14:paraId="78E64606" w14:textId="77777777" w:rsidR="00816F4B" w:rsidRDefault="00816F4B" w:rsidP="00CD4DF9">
      <w:pPr>
        <w:ind w:left="720" w:firstLine="0"/>
        <w:jc w:val="left"/>
        <w:rPr>
          <w:rFonts w:ascii="Century Gothic" w:hAnsi="Century Gothic"/>
        </w:rPr>
      </w:pPr>
      <w:r>
        <w:rPr>
          <w:rFonts w:ascii="Century Gothic" w:hAnsi="Century Gothic"/>
          <w:u w:val="single"/>
        </w:rPr>
        <w:t>Economic</w:t>
      </w:r>
      <w:r>
        <w:rPr>
          <w:rFonts w:ascii="Century Gothic" w:hAnsi="Century Gothic"/>
        </w:rPr>
        <w:t xml:space="preserve"> </w:t>
      </w:r>
      <w:r w:rsidR="0097350E">
        <w:rPr>
          <w:rFonts w:ascii="Century Gothic" w:hAnsi="Century Gothic"/>
        </w:rPr>
        <w:t>–</w:t>
      </w:r>
      <w:r>
        <w:rPr>
          <w:rFonts w:ascii="Century Gothic" w:hAnsi="Century Gothic"/>
        </w:rPr>
        <w:t xml:space="preserve"> </w:t>
      </w:r>
      <w:r w:rsidR="0097350E">
        <w:rPr>
          <w:rFonts w:ascii="Century Gothic" w:hAnsi="Century Gothic"/>
        </w:rPr>
        <w:t>These factors are external and include shifts in use (single family area changing to multi-family or privately owned dwellings changing to rentals</w:t>
      </w:r>
      <w:r w:rsidR="00C3387E">
        <w:rPr>
          <w:rFonts w:ascii="Century Gothic" w:hAnsi="Century Gothic"/>
        </w:rPr>
        <w:t xml:space="preserve"> or leases</w:t>
      </w:r>
      <w:r w:rsidR="0097350E">
        <w:rPr>
          <w:rFonts w:ascii="Century Gothic" w:hAnsi="Century Gothic"/>
        </w:rPr>
        <w:t>); changes in job market; new construction; vacancy and changes to amenities (closing of schools or shifts in shopping a</w:t>
      </w:r>
      <w:r w:rsidR="00C3387E">
        <w:rPr>
          <w:rFonts w:ascii="Century Gothic" w:hAnsi="Century Gothic"/>
        </w:rPr>
        <w:t>vailability</w:t>
      </w:r>
      <w:r w:rsidR="00F921D4">
        <w:rPr>
          <w:rFonts w:ascii="Century Gothic" w:hAnsi="Century Gothic"/>
        </w:rPr>
        <w:t>)</w:t>
      </w:r>
      <w:r w:rsidR="0097350E">
        <w:rPr>
          <w:rFonts w:ascii="Century Gothic" w:hAnsi="Century Gothic"/>
        </w:rPr>
        <w:t>; changes in taxes or addition of special assessments.</w:t>
      </w:r>
    </w:p>
    <w:p w14:paraId="78E64607" w14:textId="77777777" w:rsidR="00C05297" w:rsidRDefault="002E42BB" w:rsidP="00CA2357">
      <w:pPr>
        <w:spacing w:after="0"/>
        <w:ind w:left="720" w:firstLine="0"/>
        <w:jc w:val="left"/>
        <w:rPr>
          <w:rFonts w:ascii="Century Gothic" w:hAnsi="Century Gothic"/>
        </w:rPr>
      </w:pPr>
      <w:r w:rsidRPr="002E42BB">
        <w:rPr>
          <w:rFonts w:ascii="Century Gothic" w:hAnsi="Century Gothic"/>
        </w:rPr>
        <w:t>Economic data can</w:t>
      </w:r>
      <w:r>
        <w:rPr>
          <w:rFonts w:ascii="Century Gothic" w:hAnsi="Century Gothic"/>
        </w:rPr>
        <w:t xml:space="preserve"> be gathered by researching changes in the data base </w:t>
      </w:r>
    </w:p>
    <w:p w14:paraId="78E64608" w14:textId="77777777" w:rsidR="002E42BB" w:rsidRDefault="00CA2357" w:rsidP="00CD4DF9">
      <w:pPr>
        <w:ind w:left="720" w:firstLine="0"/>
        <w:jc w:val="left"/>
        <w:rPr>
          <w:rFonts w:ascii="Century Gothic" w:hAnsi="Century Gothic"/>
        </w:rPr>
      </w:pPr>
      <w:r>
        <w:rPr>
          <w:rFonts w:ascii="Century Gothic" w:hAnsi="Century Gothic"/>
        </w:rPr>
        <w:t>u</w:t>
      </w:r>
      <w:r w:rsidR="002E42BB">
        <w:rPr>
          <w:rFonts w:ascii="Century Gothic" w:hAnsi="Century Gothic"/>
        </w:rPr>
        <w:t>sing scripts that track changes in land use code (LUC) building permit records and research into recent changes in the jurisdiction as it relates to its economic health and the job market.</w:t>
      </w:r>
    </w:p>
    <w:p w14:paraId="78E64609" w14:textId="77777777" w:rsidR="0097350E" w:rsidRDefault="0097350E" w:rsidP="00CD4DF9">
      <w:pPr>
        <w:ind w:left="720" w:firstLine="0"/>
        <w:jc w:val="left"/>
        <w:rPr>
          <w:rFonts w:ascii="Century Gothic" w:hAnsi="Century Gothic"/>
        </w:rPr>
      </w:pPr>
      <w:r>
        <w:rPr>
          <w:rFonts w:ascii="Century Gothic" w:hAnsi="Century Gothic"/>
          <w:u w:val="single"/>
        </w:rPr>
        <w:t>Governmental</w:t>
      </w:r>
      <w:r>
        <w:rPr>
          <w:rFonts w:ascii="Century Gothic" w:hAnsi="Century Gothic"/>
        </w:rPr>
        <w:t xml:space="preserve"> – Factors include zoning, services like water, sewer and trash pickup, assessments, taxes, fire and police service and </w:t>
      </w:r>
      <w:r w:rsidR="00C10E2B">
        <w:rPr>
          <w:rFonts w:ascii="Century Gothic" w:hAnsi="Century Gothic"/>
        </w:rPr>
        <w:t xml:space="preserve">proximity to </w:t>
      </w:r>
      <w:r>
        <w:rPr>
          <w:rFonts w:ascii="Century Gothic" w:hAnsi="Century Gothic"/>
        </w:rPr>
        <w:t>schools.</w:t>
      </w:r>
    </w:p>
    <w:p w14:paraId="78E6460A" w14:textId="77777777" w:rsidR="00C10E2B" w:rsidRDefault="002E42BB" w:rsidP="00CD4DF9">
      <w:pPr>
        <w:ind w:left="720" w:firstLine="0"/>
        <w:jc w:val="left"/>
        <w:rPr>
          <w:rFonts w:ascii="Century Gothic" w:hAnsi="Century Gothic"/>
        </w:rPr>
      </w:pPr>
      <w:r w:rsidRPr="002E42BB">
        <w:rPr>
          <w:rFonts w:ascii="Century Gothic" w:hAnsi="Century Gothic"/>
        </w:rPr>
        <w:t>Governmental data</w:t>
      </w:r>
      <w:r w:rsidR="00C10E2B">
        <w:rPr>
          <w:rFonts w:ascii="Century Gothic" w:hAnsi="Century Gothic"/>
        </w:rPr>
        <w:t xml:space="preserve"> can be found on line.  Sites such as </w:t>
      </w:r>
      <w:hyperlink r:id="rId14" w:history="1">
        <w:r w:rsidR="00C10E2B" w:rsidRPr="00C850B1">
          <w:rPr>
            <w:rStyle w:val="Hyperlink"/>
            <w:rFonts w:ascii="Century Gothic" w:hAnsi="Century Gothic"/>
          </w:rPr>
          <w:t>www.city-data.com</w:t>
        </w:r>
      </w:hyperlink>
      <w:r w:rsidR="00C10E2B">
        <w:rPr>
          <w:rFonts w:ascii="Century Gothic" w:hAnsi="Century Gothic"/>
        </w:rPr>
        <w:t xml:space="preserve">  provide statistical information by </w:t>
      </w:r>
      <w:r w:rsidR="00DB07AF">
        <w:rPr>
          <w:rFonts w:ascii="Century Gothic" w:hAnsi="Century Gothic"/>
        </w:rPr>
        <w:t>jurisdiction</w:t>
      </w:r>
      <w:r w:rsidR="00C10E2B">
        <w:rPr>
          <w:rFonts w:ascii="Century Gothic" w:hAnsi="Century Gothic"/>
        </w:rPr>
        <w:t xml:space="preserve"> </w:t>
      </w:r>
      <w:r w:rsidR="00C10E2B">
        <w:rPr>
          <w:rFonts w:ascii="Century Gothic" w:hAnsi="Century Gothic"/>
        </w:rPr>
        <w:lastRenderedPageBreak/>
        <w:t xml:space="preserve">and city.  Local Chamber of Commerce or Visitor’s Bureau websites will provide an overview of the jurisdiction and local Board of Realtor sites may provide rents or asking prices for your area.  Frequently </w:t>
      </w:r>
      <w:r>
        <w:rPr>
          <w:rFonts w:ascii="Century Gothic" w:hAnsi="Century Gothic"/>
        </w:rPr>
        <w:t>GIS</w:t>
      </w:r>
      <w:r w:rsidR="00C10E2B">
        <w:rPr>
          <w:rFonts w:ascii="Century Gothic" w:hAnsi="Century Gothic"/>
        </w:rPr>
        <w:t xml:space="preserve"> maps can be accessed through the Auditor or Assessor’s website and zoning and school districts are usually found there also.</w:t>
      </w:r>
    </w:p>
    <w:p w14:paraId="78E6460B" w14:textId="77777777" w:rsidR="0097350E" w:rsidRDefault="0097350E" w:rsidP="00CD4DF9">
      <w:pPr>
        <w:ind w:left="720" w:firstLine="0"/>
        <w:jc w:val="left"/>
        <w:rPr>
          <w:rFonts w:ascii="Century Gothic" w:hAnsi="Century Gothic"/>
        </w:rPr>
      </w:pPr>
      <w:r>
        <w:rPr>
          <w:rFonts w:ascii="Century Gothic" w:hAnsi="Century Gothic"/>
          <w:u w:val="single"/>
        </w:rPr>
        <w:t>Social</w:t>
      </w:r>
      <w:r>
        <w:rPr>
          <w:rFonts w:ascii="Century Gothic" w:hAnsi="Century Gothic"/>
        </w:rPr>
        <w:t xml:space="preserve"> – These factors </w:t>
      </w:r>
      <w:r w:rsidR="00C3387E">
        <w:rPr>
          <w:rFonts w:ascii="Century Gothic" w:hAnsi="Century Gothic"/>
        </w:rPr>
        <w:t xml:space="preserve">include population density, population </w:t>
      </w:r>
      <w:r w:rsidR="00500EAA">
        <w:rPr>
          <w:rFonts w:ascii="Century Gothic" w:hAnsi="Century Gothic"/>
        </w:rPr>
        <w:t>demographics, and crime statistics.</w:t>
      </w:r>
    </w:p>
    <w:p w14:paraId="78E6460C" w14:textId="77777777" w:rsidR="002E42BB" w:rsidRPr="002E42BB" w:rsidRDefault="002E42BB" w:rsidP="00CD4DF9">
      <w:pPr>
        <w:ind w:left="720" w:firstLine="0"/>
        <w:jc w:val="left"/>
        <w:rPr>
          <w:rFonts w:ascii="Century Gothic" w:hAnsi="Century Gothic"/>
        </w:rPr>
      </w:pPr>
      <w:r w:rsidRPr="002E42BB">
        <w:rPr>
          <w:rFonts w:ascii="Century Gothic" w:hAnsi="Century Gothic"/>
        </w:rPr>
        <w:t>Social</w:t>
      </w:r>
      <w:r>
        <w:rPr>
          <w:rFonts w:ascii="Century Gothic" w:hAnsi="Century Gothic"/>
        </w:rPr>
        <w:t xml:space="preserve"> factors can be identified </w:t>
      </w:r>
      <w:r w:rsidR="00BD0919">
        <w:rPr>
          <w:rFonts w:ascii="Century Gothic" w:hAnsi="Century Gothic"/>
        </w:rPr>
        <w:t>at</w:t>
      </w:r>
      <w:r>
        <w:rPr>
          <w:rFonts w:ascii="Century Gothic" w:hAnsi="Century Gothic"/>
        </w:rPr>
        <w:t xml:space="preserve"> the Chamber of Commerce </w:t>
      </w:r>
      <w:r w:rsidR="00BD0919">
        <w:rPr>
          <w:rFonts w:ascii="Century Gothic" w:hAnsi="Century Gothic"/>
        </w:rPr>
        <w:t xml:space="preserve">and Visitor Bureau </w:t>
      </w:r>
      <w:r>
        <w:rPr>
          <w:rFonts w:ascii="Century Gothic" w:hAnsi="Century Gothic"/>
        </w:rPr>
        <w:t>websites that provide jurisdiction profiles and Census sites that provide demographics.</w:t>
      </w:r>
      <w:r w:rsidR="00992275">
        <w:rPr>
          <w:rFonts w:ascii="Century Gothic" w:hAnsi="Century Gothic"/>
        </w:rPr>
        <w:t xml:space="preserve">  Local </w:t>
      </w:r>
      <w:r w:rsidR="00500EAA">
        <w:rPr>
          <w:rFonts w:ascii="Century Gothic" w:hAnsi="Century Gothic"/>
        </w:rPr>
        <w:t>R</w:t>
      </w:r>
      <w:r w:rsidR="00992275">
        <w:rPr>
          <w:rFonts w:ascii="Century Gothic" w:hAnsi="Century Gothic"/>
        </w:rPr>
        <w:t>ealtors and fee appraisers might be able to assist in identifying trends and local perceptions on various areas.</w:t>
      </w:r>
    </w:p>
    <w:p w14:paraId="78E6460D" w14:textId="77777777" w:rsidR="002E42BB" w:rsidRPr="002E42BB" w:rsidRDefault="00B029B9" w:rsidP="004D2C28">
      <w:pPr>
        <w:pStyle w:val="Heading2"/>
      </w:pPr>
      <w:bookmarkStart w:id="5" w:name="_Toc395526917"/>
      <w:r>
        <w:t>Neighborhood</w:t>
      </w:r>
      <w:r w:rsidR="002E42BB">
        <w:t xml:space="preserve"> Data</w:t>
      </w:r>
      <w:bookmarkEnd w:id="5"/>
    </w:p>
    <w:p w14:paraId="78E6460E" w14:textId="77777777" w:rsidR="004079B9" w:rsidRDefault="004079B9" w:rsidP="004079B9">
      <w:pPr>
        <w:ind w:left="720" w:firstLine="0"/>
        <w:rPr>
          <w:rFonts w:ascii="Century Gothic" w:hAnsi="Century Gothic"/>
        </w:rPr>
      </w:pPr>
      <w:r w:rsidRPr="004079B9">
        <w:rPr>
          <w:rFonts w:ascii="Century Gothic" w:hAnsi="Century Gothic"/>
        </w:rPr>
        <w:t>To collect</w:t>
      </w:r>
      <w:r>
        <w:rPr>
          <w:rFonts w:ascii="Century Gothic" w:hAnsi="Century Gothic"/>
        </w:rPr>
        <w:t xml:space="preserve"> the characteristics needed </w:t>
      </w:r>
      <w:r w:rsidR="00B029B9">
        <w:rPr>
          <w:rFonts w:ascii="Century Gothic" w:hAnsi="Century Gothic"/>
        </w:rPr>
        <w:t xml:space="preserve">to define (document) neighborhoods, a form should be developed and utilized. </w:t>
      </w:r>
      <w:r w:rsidR="00B17F8A">
        <w:rPr>
          <w:rFonts w:ascii="Century Gothic" w:hAnsi="Century Gothic"/>
        </w:rPr>
        <w:t xml:space="preserve"> The proposed form</w:t>
      </w:r>
      <w:r w:rsidR="00B029B9">
        <w:rPr>
          <w:rFonts w:ascii="Century Gothic" w:hAnsi="Century Gothic"/>
        </w:rPr>
        <w:t xml:space="preserve"> can be found in Appendix A of this </w:t>
      </w:r>
      <w:r w:rsidR="00B17F8A">
        <w:rPr>
          <w:rFonts w:ascii="Century Gothic" w:hAnsi="Century Gothic"/>
        </w:rPr>
        <w:t>procedure</w:t>
      </w:r>
      <w:r w:rsidR="00B029B9">
        <w:rPr>
          <w:rFonts w:ascii="Century Gothic" w:hAnsi="Century Gothic"/>
        </w:rPr>
        <w:t xml:space="preserve">. </w:t>
      </w:r>
      <w:r>
        <w:rPr>
          <w:rFonts w:ascii="Century Gothic" w:hAnsi="Century Gothic"/>
        </w:rPr>
        <w:t xml:space="preserve"> These data forms serve three main functions:</w:t>
      </w:r>
    </w:p>
    <w:p w14:paraId="78E6460F" w14:textId="77777777" w:rsidR="004079B9" w:rsidRDefault="004079B9" w:rsidP="001A61F3">
      <w:pPr>
        <w:ind w:right="720" w:hanging="504"/>
        <w:rPr>
          <w:rFonts w:ascii="Century Gothic" w:hAnsi="Century Gothic"/>
        </w:rPr>
      </w:pPr>
      <w:r>
        <w:rPr>
          <w:rFonts w:ascii="Century Gothic" w:hAnsi="Century Gothic"/>
        </w:rPr>
        <w:t xml:space="preserve">1.  </w:t>
      </w:r>
      <w:r w:rsidR="001A61F3">
        <w:rPr>
          <w:rFonts w:ascii="Century Gothic" w:hAnsi="Century Gothic"/>
        </w:rPr>
        <w:tab/>
      </w:r>
      <w:r>
        <w:rPr>
          <w:rFonts w:ascii="Century Gothic" w:hAnsi="Century Gothic"/>
        </w:rPr>
        <w:t>Provide an opinion of the typical structure, economic factors and conditions</w:t>
      </w:r>
      <w:r w:rsidR="001A61F3">
        <w:rPr>
          <w:rFonts w:ascii="Century Gothic" w:hAnsi="Century Gothic"/>
        </w:rPr>
        <w:t xml:space="preserve"> with an area considered to be a neighborhood.  The data forms provide a benchmark for comparing each property within the neighborhood to each other.</w:t>
      </w:r>
    </w:p>
    <w:p w14:paraId="78E64610" w14:textId="77777777" w:rsidR="001A61F3" w:rsidRDefault="001A61F3" w:rsidP="001A61F3">
      <w:pPr>
        <w:ind w:right="720" w:hanging="504"/>
        <w:rPr>
          <w:rFonts w:ascii="Century Gothic" w:hAnsi="Century Gothic"/>
        </w:rPr>
      </w:pPr>
      <w:r>
        <w:rPr>
          <w:rFonts w:ascii="Century Gothic" w:hAnsi="Century Gothic"/>
        </w:rPr>
        <w:t>2.</w:t>
      </w:r>
      <w:r>
        <w:rPr>
          <w:rFonts w:ascii="Century Gothic" w:hAnsi="Century Gothic"/>
        </w:rPr>
        <w:tab/>
        <w:t>Provide a generally similar geographic area to use as a statistical base for sales comparison, both during the initial valuation and years later to measure change and update values accordingly.</w:t>
      </w:r>
    </w:p>
    <w:p w14:paraId="78E64611" w14:textId="77777777" w:rsidR="001A61F3" w:rsidRDefault="001A61F3" w:rsidP="001A61F3">
      <w:pPr>
        <w:ind w:right="720" w:hanging="504"/>
        <w:rPr>
          <w:rFonts w:ascii="Century Gothic" w:hAnsi="Century Gothic"/>
        </w:rPr>
      </w:pPr>
      <w:r>
        <w:rPr>
          <w:rFonts w:ascii="Century Gothic" w:hAnsi="Century Gothic"/>
        </w:rPr>
        <w:t>3.</w:t>
      </w:r>
      <w:r>
        <w:rPr>
          <w:rFonts w:ascii="Century Gothic" w:hAnsi="Century Gothic"/>
        </w:rPr>
        <w:tab/>
        <w:t>Provide a basis to allow development of computer assisted land pricing (CALP) tables.</w:t>
      </w:r>
    </w:p>
    <w:p w14:paraId="78E64612" w14:textId="77777777" w:rsidR="00DA7A26" w:rsidRPr="00DA7A26" w:rsidRDefault="00B029B9" w:rsidP="004D2C28">
      <w:pPr>
        <w:pStyle w:val="Heading2"/>
      </w:pPr>
      <w:bookmarkStart w:id="6" w:name="_Toc395526918"/>
      <w:r>
        <w:lastRenderedPageBreak/>
        <w:t xml:space="preserve">Neighborhood </w:t>
      </w:r>
      <w:r w:rsidR="00DA7A26">
        <w:t>Data Form</w:t>
      </w:r>
      <w:bookmarkEnd w:id="6"/>
    </w:p>
    <w:p w14:paraId="78E64613" w14:textId="77777777" w:rsidR="00F00CDC" w:rsidRDefault="001A61F3" w:rsidP="00C17CF0">
      <w:pPr>
        <w:ind w:left="720" w:firstLine="0"/>
        <w:jc w:val="left"/>
        <w:rPr>
          <w:rFonts w:ascii="Century Gothic" w:hAnsi="Century Gothic"/>
        </w:rPr>
      </w:pPr>
      <w:r>
        <w:rPr>
          <w:rFonts w:ascii="Century Gothic" w:hAnsi="Century Gothic"/>
        </w:rPr>
        <w:t xml:space="preserve">The data form allows for a profile of the proposed neighborhood to be developed.  This </w:t>
      </w:r>
      <w:r w:rsidR="00B029B9">
        <w:rPr>
          <w:rFonts w:ascii="Century Gothic" w:hAnsi="Century Gothic"/>
        </w:rPr>
        <w:t>is</w:t>
      </w:r>
      <w:r>
        <w:rPr>
          <w:rFonts w:ascii="Century Gothic" w:hAnsi="Century Gothic"/>
        </w:rPr>
        <w:t xml:space="preserve"> done </w:t>
      </w:r>
      <w:r w:rsidR="002E42BB">
        <w:rPr>
          <w:rFonts w:ascii="Century Gothic" w:hAnsi="Century Gothic"/>
        </w:rPr>
        <w:t>manually</w:t>
      </w:r>
      <w:r w:rsidR="00B029B9">
        <w:rPr>
          <w:rFonts w:ascii="Century Gothic" w:hAnsi="Century Gothic"/>
        </w:rPr>
        <w:t>, using external data and</w:t>
      </w:r>
      <w:r>
        <w:rPr>
          <w:rFonts w:ascii="Century Gothic" w:hAnsi="Century Gothic"/>
        </w:rPr>
        <w:t xml:space="preserve"> </w:t>
      </w:r>
      <w:r w:rsidR="00B029B9">
        <w:rPr>
          <w:rFonts w:ascii="Century Gothic" w:hAnsi="Century Gothic"/>
        </w:rPr>
        <w:t>queries</w:t>
      </w:r>
      <w:r>
        <w:rPr>
          <w:rFonts w:ascii="Century Gothic" w:hAnsi="Century Gothic"/>
        </w:rPr>
        <w:t xml:space="preserve"> th</w:t>
      </w:r>
      <w:r w:rsidR="00B029B9">
        <w:rPr>
          <w:rFonts w:ascii="Century Gothic" w:hAnsi="Century Gothic"/>
        </w:rPr>
        <w:t>at pull</w:t>
      </w:r>
      <w:r>
        <w:rPr>
          <w:rFonts w:ascii="Century Gothic" w:hAnsi="Century Gothic"/>
        </w:rPr>
        <w:t xml:space="preserve"> data from the CAMA file.</w:t>
      </w:r>
    </w:p>
    <w:p w14:paraId="78E64614" w14:textId="77777777" w:rsidR="00F00CDC" w:rsidRDefault="00DB07AF" w:rsidP="00C17CF0">
      <w:pPr>
        <w:ind w:left="720" w:firstLine="0"/>
        <w:jc w:val="left"/>
        <w:rPr>
          <w:rFonts w:ascii="Century Gothic" w:hAnsi="Century Gothic"/>
        </w:rPr>
      </w:pPr>
      <w:r>
        <w:rPr>
          <w:rFonts w:ascii="Century Gothic" w:hAnsi="Century Gothic"/>
          <w:noProof/>
        </w:rPr>
        <w:drawing>
          <wp:inline distT="0" distB="0" distL="0" distR="0" wp14:anchorId="78E64746" wp14:editId="78E64747">
            <wp:extent cx="5448300" cy="2438400"/>
            <wp:effectExtent l="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48300" cy="2438400"/>
                    </a:xfrm>
                    <a:prstGeom prst="rect">
                      <a:avLst/>
                    </a:prstGeom>
                    <a:noFill/>
                    <a:ln>
                      <a:noFill/>
                    </a:ln>
                  </pic:spPr>
                </pic:pic>
              </a:graphicData>
            </a:graphic>
          </wp:inline>
        </w:drawing>
      </w:r>
    </w:p>
    <w:p w14:paraId="78E64615" w14:textId="77777777" w:rsidR="00BF271D" w:rsidRPr="00BF271D" w:rsidRDefault="00BF271D" w:rsidP="00C17CF0">
      <w:pPr>
        <w:ind w:left="720" w:firstLine="0"/>
        <w:jc w:val="left"/>
        <w:rPr>
          <w:rFonts w:ascii="Century Gothic" w:hAnsi="Century Gothic"/>
          <w:b/>
        </w:rPr>
      </w:pPr>
      <w:r>
        <w:rPr>
          <w:rFonts w:ascii="Century Gothic" w:hAnsi="Century Gothic"/>
          <w:b/>
        </w:rPr>
        <w:t>At a</w:t>
      </w:r>
      <w:r w:rsidR="00500EAA">
        <w:rPr>
          <w:rFonts w:ascii="Century Gothic" w:hAnsi="Century Gothic"/>
          <w:b/>
        </w:rPr>
        <w:t xml:space="preserve"> </w:t>
      </w:r>
      <w:r>
        <w:rPr>
          <w:rFonts w:ascii="Century Gothic" w:hAnsi="Century Gothic"/>
          <w:b/>
        </w:rPr>
        <w:t>minimum, every neighborhood (and form) needs to consider and address the following:</w:t>
      </w:r>
    </w:p>
    <w:p w14:paraId="78E64616" w14:textId="77777777" w:rsidR="001A61F3" w:rsidRDefault="001A61F3" w:rsidP="00BF271D">
      <w:pPr>
        <w:numPr>
          <w:ilvl w:val="0"/>
          <w:numId w:val="4"/>
        </w:numPr>
        <w:jc w:val="left"/>
        <w:rPr>
          <w:rFonts w:ascii="Century Gothic" w:hAnsi="Century Gothic"/>
        </w:rPr>
      </w:pPr>
      <w:r w:rsidRPr="00BF271D">
        <w:rPr>
          <w:rFonts w:ascii="Century Gothic" w:hAnsi="Century Gothic"/>
          <w:b/>
          <w:u w:val="single"/>
        </w:rPr>
        <w:t>Area Name</w:t>
      </w:r>
      <w:r>
        <w:rPr>
          <w:rFonts w:ascii="Century Gothic" w:hAnsi="Century Gothic"/>
        </w:rPr>
        <w:t xml:space="preserve"> – A narrative description of the NBHD area, “Willow’s Peak Sub” or “Center City Ward 2”</w:t>
      </w:r>
      <w:r w:rsidR="00992275">
        <w:rPr>
          <w:rFonts w:ascii="Century Gothic" w:hAnsi="Century Gothic"/>
        </w:rPr>
        <w:t xml:space="preserve">.  It is beneficial to use commonly recognized names for neighborhoods.  One can gather these from </w:t>
      </w:r>
      <w:r w:rsidR="00770EAE">
        <w:rPr>
          <w:rFonts w:ascii="Century Gothic" w:hAnsi="Century Gothic"/>
        </w:rPr>
        <w:t xml:space="preserve">the assessor, </w:t>
      </w:r>
      <w:r w:rsidR="00992275">
        <w:rPr>
          <w:rFonts w:ascii="Century Gothic" w:hAnsi="Century Gothic"/>
        </w:rPr>
        <w:t xml:space="preserve">local </w:t>
      </w:r>
      <w:r w:rsidR="00770EAE">
        <w:rPr>
          <w:rFonts w:ascii="Century Gothic" w:hAnsi="Century Gothic"/>
        </w:rPr>
        <w:t>r</w:t>
      </w:r>
      <w:r w:rsidR="00992275">
        <w:rPr>
          <w:rFonts w:ascii="Century Gothic" w:hAnsi="Century Gothic"/>
        </w:rPr>
        <w:t xml:space="preserve">ealtors, </w:t>
      </w:r>
      <w:r w:rsidR="003B68A3">
        <w:rPr>
          <w:rFonts w:ascii="Century Gothic" w:hAnsi="Century Gothic"/>
        </w:rPr>
        <w:t xml:space="preserve">local multiple listing services, </w:t>
      </w:r>
      <w:r w:rsidR="00992275">
        <w:rPr>
          <w:rFonts w:ascii="Century Gothic" w:hAnsi="Century Gothic"/>
        </w:rPr>
        <w:t>banks or fee appraisers.</w:t>
      </w:r>
    </w:p>
    <w:p w14:paraId="78E64617" w14:textId="77777777" w:rsidR="001A61F3" w:rsidRPr="00A40286" w:rsidRDefault="00C17CF0" w:rsidP="00BF271D">
      <w:pPr>
        <w:numPr>
          <w:ilvl w:val="0"/>
          <w:numId w:val="4"/>
        </w:numPr>
        <w:jc w:val="left"/>
        <w:rPr>
          <w:rFonts w:ascii="Century Gothic" w:hAnsi="Century Gothic"/>
          <w:i/>
        </w:rPr>
      </w:pPr>
      <w:r w:rsidRPr="00BF271D">
        <w:rPr>
          <w:rFonts w:ascii="Century Gothic" w:hAnsi="Century Gothic"/>
          <w:b/>
          <w:u w:val="single"/>
        </w:rPr>
        <w:t>Neighborhood ID Code</w:t>
      </w:r>
      <w:r>
        <w:rPr>
          <w:rFonts w:ascii="Century Gothic" w:hAnsi="Century Gothic"/>
        </w:rPr>
        <w:t xml:space="preserve"> – It makes sense to give the digits of the NBHD ID some type of meaning</w:t>
      </w:r>
      <w:r w:rsidR="00606A61">
        <w:rPr>
          <w:rFonts w:ascii="Century Gothic" w:hAnsi="Century Gothic"/>
        </w:rPr>
        <w:t>.</w:t>
      </w:r>
      <w:r w:rsidR="00A40286">
        <w:rPr>
          <w:rFonts w:ascii="Century Gothic" w:hAnsi="Century Gothic"/>
        </w:rPr>
        <w:t xml:space="preserve">  Example: 01</w:t>
      </w:r>
      <w:r w:rsidR="00606A61">
        <w:rPr>
          <w:rFonts w:ascii="Century Gothic" w:hAnsi="Century Gothic"/>
        </w:rPr>
        <w:t>#</w:t>
      </w:r>
      <w:r w:rsidR="00A40286">
        <w:rPr>
          <w:rFonts w:ascii="Century Gothic" w:hAnsi="Century Gothic"/>
        </w:rPr>
        <w:t>R06</w:t>
      </w:r>
      <w:r w:rsidR="00606A61">
        <w:rPr>
          <w:rFonts w:ascii="Century Gothic" w:hAnsi="Century Gothic"/>
        </w:rPr>
        <w:t>##</w:t>
      </w:r>
      <w:r w:rsidR="00A40286">
        <w:rPr>
          <w:rFonts w:ascii="Century Gothic" w:hAnsi="Century Gothic"/>
        </w:rPr>
        <w:t xml:space="preserve">.  ‘01’ first two </w:t>
      </w:r>
      <w:r w:rsidR="00AA0FB4">
        <w:rPr>
          <w:rFonts w:ascii="Century Gothic" w:hAnsi="Century Gothic"/>
        </w:rPr>
        <w:t>or three</w:t>
      </w:r>
      <w:r w:rsidR="00606A61">
        <w:rPr>
          <w:rFonts w:ascii="Century Gothic" w:hAnsi="Century Gothic"/>
        </w:rPr>
        <w:t xml:space="preserve"> </w:t>
      </w:r>
      <w:r w:rsidR="00A40286">
        <w:rPr>
          <w:rFonts w:ascii="Century Gothic" w:hAnsi="Century Gothic"/>
        </w:rPr>
        <w:t xml:space="preserve">digits </w:t>
      </w:r>
      <w:r w:rsidR="00AA0FB4">
        <w:rPr>
          <w:rFonts w:ascii="Century Gothic" w:hAnsi="Century Gothic"/>
        </w:rPr>
        <w:t>might i</w:t>
      </w:r>
      <w:r w:rsidR="00A40286">
        <w:rPr>
          <w:rFonts w:ascii="Century Gothic" w:hAnsi="Century Gothic"/>
        </w:rPr>
        <w:t>dentif</w:t>
      </w:r>
      <w:r w:rsidR="00606A61">
        <w:rPr>
          <w:rFonts w:ascii="Century Gothic" w:hAnsi="Century Gothic"/>
        </w:rPr>
        <w:t>y</w:t>
      </w:r>
      <w:r w:rsidR="00A40286">
        <w:rPr>
          <w:rFonts w:ascii="Century Gothic" w:hAnsi="Century Gothic"/>
        </w:rPr>
        <w:t xml:space="preserve"> the tax district</w:t>
      </w:r>
      <w:r w:rsidR="00606A61">
        <w:rPr>
          <w:rFonts w:ascii="Century Gothic" w:hAnsi="Century Gothic"/>
        </w:rPr>
        <w:t xml:space="preserve"> or broad geographical, locally recognized area being delineated</w:t>
      </w:r>
      <w:r w:rsidR="00A40286">
        <w:rPr>
          <w:rFonts w:ascii="Century Gothic" w:hAnsi="Century Gothic"/>
        </w:rPr>
        <w:t xml:space="preserve">; the </w:t>
      </w:r>
      <w:r w:rsidR="00AA0FB4">
        <w:rPr>
          <w:rFonts w:ascii="Century Gothic" w:hAnsi="Century Gothic"/>
        </w:rPr>
        <w:t xml:space="preserve">next digit or set of digits might </w:t>
      </w:r>
      <w:r w:rsidR="00A40286">
        <w:rPr>
          <w:rFonts w:ascii="Century Gothic" w:hAnsi="Century Gothic"/>
        </w:rPr>
        <w:t>identif</w:t>
      </w:r>
      <w:r w:rsidR="00AA0FB4">
        <w:rPr>
          <w:rFonts w:ascii="Century Gothic" w:hAnsi="Century Gothic"/>
        </w:rPr>
        <w:t>y t</w:t>
      </w:r>
      <w:r w:rsidR="00A40286">
        <w:rPr>
          <w:rFonts w:ascii="Century Gothic" w:hAnsi="Century Gothic"/>
        </w:rPr>
        <w:t xml:space="preserve">he class of </w:t>
      </w:r>
      <w:r w:rsidR="00AA0FB4">
        <w:rPr>
          <w:rFonts w:ascii="Century Gothic" w:hAnsi="Century Gothic"/>
        </w:rPr>
        <w:t>property being valued by the</w:t>
      </w:r>
      <w:r w:rsidR="00A40286">
        <w:rPr>
          <w:rFonts w:ascii="Century Gothic" w:hAnsi="Century Gothic"/>
        </w:rPr>
        <w:t xml:space="preserve"> NBHD (</w:t>
      </w:r>
      <w:r w:rsidR="00A40286">
        <w:rPr>
          <w:rFonts w:ascii="Century Gothic" w:hAnsi="Century Gothic"/>
          <w:b/>
        </w:rPr>
        <w:t>R</w:t>
      </w:r>
      <w:r w:rsidR="00A40286">
        <w:rPr>
          <w:rFonts w:ascii="Century Gothic" w:hAnsi="Century Gothic"/>
        </w:rPr>
        <w:t>es</w:t>
      </w:r>
      <w:r w:rsidR="00606A61">
        <w:rPr>
          <w:rFonts w:ascii="Century Gothic" w:hAnsi="Century Gothic"/>
        </w:rPr>
        <w:t>idential or</w:t>
      </w:r>
      <w:r w:rsidR="00A40286">
        <w:rPr>
          <w:rFonts w:ascii="Century Gothic" w:hAnsi="Century Gothic"/>
        </w:rPr>
        <w:t xml:space="preserve"> </w:t>
      </w:r>
      <w:r w:rsidR="00A40286">
        <w:rPr>
          <w:rFonts w:ascii="Century Gothic" w:hAnsi="Century Gothic"/>
          <w:b/>
        </w:rPr>
        <w:t>C</w:t>
      </w:r>
      <w:r w:rsidR="00A40286">
        <w:rPr>
          <w:rFonts w:ascii="Century Gothic" w:hAnsi="Century Gothic"/>
        </w:rPr>
        <w:t>o</w:t>
      </w:r>
      <w:r w:rsidR="00606A61">
        <w:rPr>
          <w:rFonts w:ascii="Century Gothic" w:hAnsi="Century Gothic"/>
        </w:rPr>
        <w:t>mmercial</w:t>
      </w:r>
      <w:r w:rsidR="00A40286">
        <w:rPr>
          <w:rFonts w:ascii="Century Gothic" w:hAnsi="Century Gothic"/>
        </w:rPr>
        <w:t>).</w:t>
      </w:r>
      <w:r w:rsidR="009B488A">
        <w:rPr>
          <w:rFonts w:ascii="Century Gothic" w:hAnsi="Century Gothic"/>
        </w:rPr>
        <w:t xml:space="preserve">  </w:t>
      </w:r>
      <w:r w:rsidR="00AA0FB4">
        <w:rPr>
          <w:rFonts w:ascii="Century Gothic" w:hAnsi="Century Gothic"/>
        </w:rPr>
        <w:t>The following characters might subdivide</w:t>
      </w:r>
      <w:r w:rsidR="009B488A">
        <w:rPr>
          <w:rFonts w:ascii="Century Gothic" w:hAnsi="Century Gothic"/>
        </w:rPr>
        <w:t xml:space="preserve"> the area to identify </w:t>
      </w:r>
      <w:r w:rsidR="00AA0FB4">
        <w:rPr>
          <w:rFonts w:ascii="Century Gothic" w:hAnsi="Century Gothic"/>
        </w:rPr>
        <w:t xml:space="preserve">any number of meaningful characteristics like relative </w:t>
      </w:r>
      <w:r w:rsidR="009B488A">
        <w:rPr>
          <w:rFonts w:ascii="Century Gothic" w:hAnsi="Century Gothic"/>
        </w:rPr>
        <w:t>value range, age</w:t>
      </w:r>
      <w:r w:rsidR="00AA0FB4">
        <w:rPr>
          <w:rFonts w:ascii="Century Gothic" w:hAnsi="Century Gothic"/>
        </w:rPr>
        <w:t xml:space="preserve">, relative desirability, </w:t>
      </w:r>
      <w:r w:rsidR="00AA0FB4">
        <w:rPr>
          <w:rFonts w:ascii="Century Gothic" w:hAnsi="Century Gothic"/>
        </w:rPr>
        <w:lastRenderedPageBreak/>
        <w:t>suburban, condominium, urban development</w:t>
      </w:r>
      <w:r w:rsidR="009B488A">
        <w:rPr>
          <w:rFonts w:ascii="Century Gothic" w:hAnsi="Century Gothic"/>
        </w:rPr>
        <w:t xml:space="preserve"> or any other significant variable that would make the NBHD ID more meaningful.</w:t>
      </w:r>
    </w:p>
    <w:p w14:paraId="78E64618" w14:textId="77777777" w:rsidR="00C17CF0" w:rsidRDefault="00BF271D" w:rsidP="00BF271D">
      <w:pPr>
        <w:numPr>
          <w:ilvl w:val="0"/>
          <w:numId w:val="4"/>
        </w:numPr>
        <w:jc w:val="left"/>
        <w:rPr>
          <w:rFonts w:ascii="Century Gothic" w:hAnsi="Century Gothic"/>
        </w:rPr>
      </w:pPr>
      <w:r w:rsidRPr="00BF271D">
        <w:rPr>
          <w:rFonts w:ascii="Century Gothic" w:hAnsi="Century Gothic"/>
          <w:b/>
          <w:u w:val="single"/>
        </w:rPr>
        <w:t xml:space="preserve">Physical </w:t>
      </w:r>
      <w:r w:rsidR="00C17CF0" w:rsidRPr="00BF271D">
        <w:rPr>
          <w:rFonts w:ascii="Century Gothic" w:hAnsi="Century Gothic"/>
          <w:b/>
          <w:u w:val="single"/>
        </w:rPr>
        <w:t>Boundar</w:t>
      </w:r>
      <w:r w:rsidRPr="00BF271D">
        <w:rPr>
          <w:rFonts w:ascii="Century Gothic" w:hAnsi="Century Gothic"/>
          <w:b/>
          <w:u w:val="single"/>
        </w:rPr>
        <w:t>y description</w:t>
      </w:r>
      <w:r w:rsidR="00C17CF0">
        <w:rPr>
          <w:rFonts w:ascii="Century Gothic" w:hAnsi="Century Gothic"/>
        </w:rPr>
        <w:t xml:space="preserve"> – Provide the North, South, East and West boundaries.  For example: North to Main Street, South to the railroad tracks, East to Route 224 and West to the Buckeye River.  A field is provided to include the type or reason for the boundary.  They include physical barriers; income level change, value range </w:t>
      </w:r>
      <w:r w:rsidR="00E901C8">
        <w:rPr>
          <w:rFonts w:ascii="Century Gothic" w:hAnsi="Century Gothic"/>
        </w:rPr>
        <w:t>c</w:t>
      </w:r>
      <w:r w:rsidR="00C17CF0">
        <w:rPr>
          <w:rFonts w:ascii="Century Gothic" w:hAnsi="Century Gothic"/>
        </w:rPr>
        <w:t>hange, use of land change and other (provide an explanation).  Our example included physical barriers (the Buckeye River and the railroad tracks) and possible income or value range changes (Route 224 and/or Main Street).</w:t>
      </w:r>
    </w:p>
    <w:p w14:paraId="78E64619" w14:textId="77777777" w:rsidR="00F00CDC" w:rsidRDefault="00C17CF0" w:rsidP="00C17CF0">
      <w:pPr>
        <w:ind w:left="720" w:firstLine="0"/>
        <w:jc w:val="left"/>
        <w:rPr>
          <w:rFonts w:ascii="Century Gothic" w:hAnsi="Century Gothic"/>
          <w:b/>
        </w:rPr>
      </w:pPr>
      <w:r>
        <w:rPr>
          <w:rFonts w:ascii="Century Gothic" w:hAnsi="Century Gothic"/>
          <w:b/>
        </w:rPr>
        <w:t xml:space="preserve">Characteristics </w:t>
      </w:r>
      <w:r w:rsidR="00BF271D">
        <w:rPr>
          <w:rFonts w:ascii="Century Gothic" w:hAnsi="Century Gothic"/>
          <w:b/>
        </w:rPr>
        <w:t>that might be included on a Neighborhood data form:</w:t>
      </w:r>
    </w:p>
    <w:p w14:paraId="78E6461A" w14:textId="77777777" w:rsidR="00BF271D" w:rsidRPr="00BF271D" w:rsidRDefault="00DB07AF" w:rsidP="00C17CF0">
      <w:pPr>
        <w:ind w:left="720" w:firstLine="0"/>
        <w:jc w:val="left"/>
        <w:rPr>
          <w:u w:val="single"/>
        </w:rPr>
      </w:pPr>
      <w:r>
        <w:rPr>
          <w:noProof/>
        </w:rPr>
        <w:drawing>
          <wp:inline distT="0" distB="0" distL="0" distR="0" wp14:anchorId="78E64748" wp14:editId="78E64749">
            <wp:extent cx="5867400" cy="3362325"/>
            <wp:effectExtent l="0" t="0" r="0" b="9525"/>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867400" cy="3362325"/>
                    </a:xfrm>
                    <a:prstGeom prst="rect">
                      <a:avLst/>
                    </a:prstGeom>
                    <a:noFill/>
                    <a:ln>
                      <a:noFill/>
                    </a:ln>
                  </pic:spPr>
                </pic:pic>
              </a:graphicData>
            </a:graphic>
          </wp:inline>
        </w:drawing>
      </w:r>
      <w:r w:rsidR="00BF271D" w:rsidRPr="006C65AD">
        <w:rPr>
          <w:rFonts w:ascii="Century Gothic" w:hAnsi="Century Gothic"/>
          <w:u w:val="single"/>
        </w:rPr>
        <w:t>Tax District</w:t>
      </w:r>
      <w:r w:rsidR="00B9299F" w:rsidRPr="006C65AD">
        <w:rPr>
          <w:rFonts w:ascii="Century Gothic" w:hAnsi="Century Gothic"/>
          <w:u w:val="single"/>
        </w:rPr>
        <w:t>/</w:t>
      </w:r>
      <w:r w:rsidR="00BF271D" w:rsidRPr="006C65AD">
        <w:rPr>
          <w:rFonts w:ascii="Century Gothic" w:hAnsi="Century Gothic"/>
          <w:u w:val="single"/>
        </w:rPr>
        <w:t>School District</w:t>
      </w:r>
      <w:r w:rsidR="00BF271D">
        <w:rPr>
          <w:u w:val="single"/>
        </w:rPr>
        <w:t xml:space="preserve"> </w:t>
      </w:r>
    </w:p>
    <w:p w14:paraId="78E6461B" w14:textId="77777777" w:rsidR="00BF271D" w:rsidRDefault="00C17CF0" w:rsidP="00C17CF0">
      <w:pPr>
        <w:ind w:left="720" w:firstLine="0"/>
        <w:jc w:val="left"/>
        <w:rPr>
          <w:rFonts w:ascii="Century Gothic" w:hAnsi="Century Gothic"/>
        </w:rPr>
      </w:pPr>
      <w:r>
        <w:rPr>
          <w:rFonts w:ascii="Century Gothic" w:hAnsi="Century Gothic"/>
          <w:u w:val="single"/>
        </w:rPr>
        <w:lastRenderedPageBreak/>
        <w:t>Type</w:t>
      </w:r>
      <w:r w:rsidR="00BF271D">
        <w:rPr>
          <w:rFonts w:ascii="Century Gothic" w:hAnsi="Century Gothic"/>
          <w:u w:val="single"/>
        </w:rPr>
        <w:t>/Predominate Land Use/Density</w:t>
      </w:r>
      <w:r>
        <w:rPr>
          <w:rFonts w:ascii="Century Gothic" w:hAnsi="Century Gothic"/>
        </w:rPr>
        <w:t xml:space="preserve"> – Urban, Suburban, Subdivision, Rural, </w:t>
      </w:r>
      <w:r w:rsidR="00BF271D">
        <w:rPr>
          <w:rFonts w:ascii="Century Gothic" w:hAnsi="Century Gothic"/>
        </w:rPr>
        <w:t>etc.</w:t>
      </w:r>
    </w:p>
    <w:p w14:paraId="78E6461C" w14:textId="77777777" w:rsidR="00BF271D" w:rsidRDefault="00B9299F" w:rsidP="00C17CF0">
      <w:pPr>
        <w:ind w:left="720" w:firstLine="0"/>
        <w:jc w:val="left"/>
        <w:rPr>
          <w:rFonts w:ascii="Century Gothic" w:hAnsi="Century Gothic"/>
        </w:rPr>
      </w:pPr>
      <w:r>
        <w:rPr>
          <w:rFonts w:ascii="Century Gothic" w:hAnsi="Century Gothic"/>
          <w:u w:val="single"/>
        </w:rPr>
        <w:t xml:space="preserve">Housing </w:t>
      </w:r>
      <w:r w:rsidR="00C17CF0" w:rsidRPr="00C17CF0">
        <w:rPr>
          <w:rFonts w:ascii="Century Gothic" w:hAnsi="Century Gothic"/>
          <w:u w:val="single"/>
        </w:rPr>
        <w:t>Demand/Supply</w:t>
      </w:r>
      <w:r w:rsidR="00C17CF0">
        <w:rPr>
          <w:rFonts w:ascii="Century Gothic" w:hAnsi="Century Gothic"/>
        </w:rPr>
        <w:t xml:space="preserve"> – Refers to availability of houses for sale.  </w:t>
      </w:r>
    </w:p>
    <w:p w14:paraId="78E6461D" w14:textId="77777777" w:rsidR="00BF271D" w:rsidRDefault="00EE5780" w:rsidP="00C17CF0">
      <w:pPr>
        <w:ind w:left="720" w:firstLine="0"/>
        <w:jc w:val="left"/>
        <w:rPr>
          <w:rFonts w:ascii="Century Gothic" w:hAnsi="Century Gothic"/>
        </w:rPr>
      </w:pPr>
      <w:r>
        <w:rPr>
          <w:rFonts w:ascii="Century Gothic" w:hAnsi="Century Gothic"/>
          <w:u w:val="single"/>
        </w:rPr>
        <w:t xml:space="preserve">Rate of </w:t>
      </w:r>
      <w:r w:rsidR="00BF271D">
        <w:rPr>
          <w:rFonts w:ascii="Century Gothic" w:hAnsi="Century Gothic"/>
          <w:u w:val="single"/>
        </w:rPr>
        <w:t>Turnover/Time on Market</w:t>
      </w:r>
      <w:r>
        <w:rPr>
          <w:rFonts w:ascii="Century Gothic" w:hAnsi="Century Gothic"/>
        </w:rPr>
        <w:t xml:space="preserve"> – Slow, Steady and Rapid</w:t>
      </w:r>
    </w:p>
    <w:p w14:paraId="78E6461E" w14:textId="77777777" w:rsidR="00BF271D" w:rsidRDefault="00EE5780" w:rsidP="00C17CF0">
      <w:pPr>
        <w:ind w:left="720" w:firstLine="0"/>
        <w:jc w:val="left"/>
        <w:rPr>
          <w:rFonts w:ascii="Century Gothic" w:hAnsi="Century Gothic"/>
        </w:rPr>
      </w:pPr>
      <w:r>
        <w:rPr>
          <w:rFonts w:ascii="Century Gothic" w:hAnsi="Century Gothic"/>
          <w:u w:val="single"/>
        </w:rPr>
        <w:t>Neighborhood Life Cycle</w:t>
      </w:r>
      <w:r w:rsidR="00B9299F">
        <w:rPr>
          <w:rFonts w:ascii="Century Gothic" w:hAnsi="Century Gothic"/>
          <w:u w:val="single"/>
        </w:rPr>
        <w:t>/Ch</w:t>
      </w:r>
      <w:r w:rsidR="00BF271D">
        <w:rPr>
          <w:rFonts w:ascii="Century Gothic" w:hAnsi="Century Gothic"/>
          <w:u w:val="single"/>
        </w:rPr>
        <w:t>ange in Life Cycle</w:t>
      </w:r>
      <w:r>
        <w:rPr>
          <w:rFonts w:ascii="Century Gothic" w:hAnsi="Century Gothic"/>
        </w:rPr>
        <w:t xml:space="preserve"> – Describes whether a NBHD is improving, stagnant or declining in value</w:t>
      </w:r>
      <w:r w:rsidR="00BF271D">
        <w:rPr>
          <w:rFonts w:ascii="Century Gothic" w:hAnsi="Century Gothic"/>
        </w:rPr>
        <w:t xml:space="preserve"> and any recent or i</w:t>
      </w:r>
      <w:r w:rsidR="00B17F8A">
        <w:rPr>
          <w:rFonts w:ascii="Century Gothic" w:hAnsi="Century Gothic"/>
        </w:rPr>
        <w:t>mpending changes to that cycle.</w:t>
      </w:r>
    </w:p>
    <w:p w14:paraId="78E6461F" w14:textId="77777777" w:rsidR="00864956" w:rsidRDefault="00864956" w:rsidP="00C17CF0">
      <w:pPr>
        <w:ind w:left="720" w:firstLine="0"/>
        <w:jc w:val="left"/>
        <w:rPr>
          <w:rFonts w:ascii="Century Gothic" w:hAnsi="Century Gothic"/>
        </w:rPr>
      </w:pPr>
      <w:r>
        <w:rPr>
          <w:rFonts w:ascii="Century Gothic" w:hAnsi="Century Gothic"/>
          <w:u w:val="single"/>
        </w:rPr>
        <w:t>Predominant Improvement Type</w:t>
      </w:r>
      <w:r>
        <w:rPr>
          <w:rFonts w:ascii="Century Gothic" w:hAnsi="Century Gothic"/>
        </w:rPr>
        <w:t xml:space="preserve"> –</w:t>
      </w:r>
      <w:r w:rsidR="00B9299F">
        <w:rPr>
          <w:rFonts w:ascii="Century Gothic" w:hAnsi="Century Gothic"/>
          <w:i/>
        </w:rPr>
        <w:t>Single, Multi or Condominium housing.</w:t>
      </w:r>
    </w:p>
    <w:p w14:paraId="78E64620" w14:textId="77777777" w:rsidR="00B9299F" w:rsidRDefault="00B9299F" w:rsidP="00C17CF0">
      <w:pPr>
        <w:ind w:left="720" w:firstLine="0"/>
        <w:jc w:val="left"/>
        <w:rPr>
          <w:rFonts w:ascii="Century Gothic" w:hAnsi="Century Gothic"/>
        </w:rPr>
      </w:pPr>
      <w:r>
        <w:rPr>
          <w:rFonts w:ascii="Century Gothic" w:hAnsi="Century Gothic"/>
          <w:u w:val="single"/>
        </w:rPr>
        <w:t xml:space="preserve">Typical Improvement </w:t>
      </w:r>
      <w:r w:rsidR="00864956">
        <w:rPr>
          <w:rFonts w:ascii="Century Gothic" w:hAnsi="Century Gothic"/>
          <w:u w:val="single"/>
        </w:rPr>
        <w:t>Quality</w:t>
      </w:r>
      <w:r w:rsidR="00864956">
        <w:rPr>
          <w:rFonts w:ascii="Century Gothic" w:hAnsi="Century Gothic"/>
        </w:rPr>
        <w:t xml:space="preserve"> – Refers to the quality of dwelling construction.  </w:t>
      </w:r>
      <w:r>
        <w:rPr>
          <w:rFonts w:ascii="Century Gothic" w:hAnsi="Century Gothic"/>
        </w:rPr>
        <w:t>Can be expressed as mean and median Quality grade or as frequency statistic.</w:t>
      </w:r>
    </w:p>
    <w:p w14:paraId="78E64621" w14:textId="77777777" w:rsidR="00864956" w:rsidRDefault="00864956" w:rsidP="00C17CF0">
      <w:pPr>
        <w:ind w:left="720" w:firstLine="0"/>
        <w:jc w:val="left"/>
        <w:rPr>
          <w:rFonts w:ascii="Century Gothic" w:hAnsi="Century Gothic"/>
        </w:rPr>
      </w:pPr>
      <w:r>
        <w:rPr>
          <w:rFonts w:ascii="Century Gothic" w:hAnsi="Century Gothic"/>
          <w:u w:val="single"/>
        </w:rPr>
        <w:t xml:space="preserve">Typical </w:t>
      </w:r>
      <w:r w:rsidR="00B9299F">
        <w:rPr>
          <w:rFonts w:ascii="Century Gothic" w:hAnsi="Century Gothic"/>
          <w:u w:val="single"/>
        </w:rPr>
        <w:t xml:space="preserve">Improvement </w:t>
      </w:r>
      <w:r>
        <w:rPr>
          <w:rFonts w:ascii="Century Gothic" w:hAnsi="Century Gothic"/>
          <w:u w:val="single"/>
        </w:rPr>
        <w:t>Age</w:t>
      </w:r>
      <w:r>
        <w:rPr>
          <w:rFonts w:ascii="Century Gothic" w:hAnsi="Century Gothic"/>
        </w:rPr>
        <w:t xml:space="preserve"> – Refers to dwelling age in years.  </w:t>
      </w:r>
      <w:r w:rsidR="00B9299F">
        <w:rPr>
          <w:rFonts w:ascii="Century Gothic" w:hAnsi="Century Gothic"/>
        </w:rPr>
        <w:t>Can be expressed as mean and median Year Built or as frequency statistic.</w:t>
      </w:r>
    </w:p>
    <w:p w14:paraId="78E64622" w14:textId="77777777" w:rsidR="00B9299F" w:rsidRDefault="00351A3E" w:rsidP="00C17CF0">
      <w:pPr>
        <w:ind w:left="720" w:firstLine="0"/>
        <w:jc w:val="left"/>
        <w:rPr>
          <w:rFonts w:ascii="Century Gothic" w:hAnsi="Century Gothic"/>
        </w:rPr>
      </w:pPr>
      <w:r>
        <w:rPr>
          <w:rFonts w:ascii="Century Gothic" w:hAnsi="Century Gothic"/>
          <w:u w:val="single"/>
        </w:rPr>
        <w:t>CDU</w:t>
      </w:r>
      <w:r>
        <w:rPr>
          <w:rFonts w:ascii="Century Gothic" w:hAnsi="Century Gothic"/>
        </w:rPr>
        <w:t xml:space="preserve"> Refers to </w:t>
      </w:r>
      <w:r w:rsidR="00417112">
        <w:rPr>
          <w:rFonts w:ascii="Century Gothic" w:hAnsi="Century Gothic"/>
        </w:rPr>
        <w:t xml:space="preserve">predominant </w:t>
      </w:r>
      <w:r>
        <w:rPr>
          <w:rFonts w:ascii="Century Gothic" w:hAnsi="Century Gothic"/>
        </w:rPr>
        <w:t>Condition, Desirability and Usefulness</w:t>
      </w:r>
      <w:r w:rsidR="00417112">
        <w:rPr>
          <w:rFonts w:ascii="Century Gothic" w:hAnsi="Century Gothic"/>
        </w:rPr>
        <w:t xml:space="preserve"> assignment.</w:t>
      </w:r>
      <w:r>
        <w:rPr>
          <w:rFonts w:ascii="Century Gothic" w:hAnsi="Century Gothic"/>
        </w:rPr>
        <w:t xml:space="preserve">  </w:t>
      </w:r>
    </w:p>
    <w:p w14:paraId="78E64623" w14:textId="77777777" w:rsidR="00417112" w:rsidRDefault="00417112" w:rsidP="00C17CF0">
      <w:pPr>
        <w:ind w:left="720" w:firstLine="0"/>
        <w:jc w:val="left"/>
        <w:rPr>
          <w:rFonts w:ascii="Century Gothic" w:hAnsi="Century Gothic"/>
        </w:rPr>
      </w:pPr>
      <w:r>
        <w:rPr>
          <w:rFonts w:ascii="Century Gothic" w:hAnsi="Century Gothic"/>
          <w:u w:val="single"/>
        </w:rPr>
        <w:t>Predominant Occupancy</w:t>
      </w:r>
      <w:r>
        <w:rPr>
          <w:rFonts w:ascii="Century Gothic" w:hAnsi="Century Gothic"/>
        </w:rPr>
        <w:t xml:space="preserve"> – Owner or Tenant.</w:t>
      </w:r>
    </w:p>
    <w:p w14:paraId="78E64624" w14:textId="77777777" w:rsidR="00DA7A26" w:rsidRPr="00DA7A26" w:rsidRDefault="00DA7A26" w:rsidP="00C17CF0">
      <w:pPr>
        <w:ind w:left="720" w:firstLine="0"/>
        <w:jc w:val="left"/>
        <w:rPr>
          <w:rFonts w:ascii="Century Gothic" w:hAnsi="Century Gothic"/>
        </w:rPr>
      </w:pPr>
      <w:r>
        <w:rPr>
          <w:rFonts w:ascii="Century Gothic" w:hAnsi="Century Gothic"/>
          <w:u w:val="single"/>
        </w:rPr>
        <w:t>Vacancy</w:t>
      </w:r>
      <w:r>
        <w:rPr>
          <w:rFonts w:ascii="Century Gothic" w:hAnsi="Century Gothic"/>
        </w:rPr>
        <w:t xml:space="preserve"> – </w:t>
      </w:r>
      <w:r w:rsidR="00B9299F">
        <w:rPr>
          <w:rFonts w:ascii="Century Gothic" w:hAnsi="Century Gothic"/>
        </w:rPr>
        <w:t>Expressed as a percentage of observed vacant improvements.</w:t>
      </w:r>
    </w:p>
    <w:p w14:paraId="78E64625" w14:textId="77777777" w:rsidR="00417112" w:rsidRPr="00417112" w:rsidRDefault="00B9299F" w:rsidP="00C17CF0">
      <w:pPr>
        <w:ind w:left="720" w:firstLine="0"/>
        <w:jc w:val="left"/>
        <w:rPr>
          <w:rFonts w:ascii="Century Gothic" w:hAnsi="Century Gothic"/>
        </w:rPr>
      </w:pPr>
      <w:r>
        <w:rPr>
          <w:rFonts w:ascii="Century Gothic" w:hAnsi="Century Gothic"/>
          <w:u w:val="single"/>
        </w:rPr>
        <w:t>Mean and Median</w:t>
      </w:r>
      <w:r w:rsidR="00417112">
        <w:rPr>
          <w:rFonts w:ascii="Century Gothic" w:hAnsi="Century Gothic"/>
          <w:u w:val="single"/>
        </w:rPr>
        <w:t xml:space="preserve"> Market Value</w:t>
      </w:r>
      <w:r w:rsidR="00417112" w:rsidRPr="00417112">
        <w:rPr>
          <w:rFonts w:ascii="Century Gothic" w:hAnsi="Century Gothic"/>
        </w:rPr>
        <w:t>.</w:t>
      </w:r>
      <w:r w:rsidR="00417112">
        <w:rPr>
          <w:rFonts w:ascii="Century Gothic" w:hAnsi="Century Gothic"/>
        </w:rPr>
        <w:t xml:space="preserve">  </w:t>
      </w:r>
      <w:r>
        <w:rPr>
          <w:rFonts w:ascii="Century Gothic" w:hAnsi="Century Gothic"/>
        </w:rPr>
        <w:t>Based on recent sales within the neighborhood</w:t>
      </w:r>
    </w:p>
    <w:p w14:paraId="78E64626" w14:textId="77777777" w:rsidR="00DF0632" w:rsidRDefault="00DF0632" w:rsidP="00C13D3B">
      <w:pPr>
        <w:spacing w:line="320" w:lineRule="atLeast"/>
        <w:ind w:left="720" w:firstLine="0"/>
        <w:jc w:val="left"/>
        <w:rPr>
          <w:rFonts w:ascii="Century Gothic" w:hAnsi="Century Gothic"/>
        </w:rPr>
      </w:pPr>
      <w:r>
        <w:rPr>
          <w:rFonts w:ascii="Century Gothic" w:hAnsi="Century Gothic"/>
        </w:rPr>
        <w:t xml:space="preserve">It is often desirable to provide comments (in narrative form) or the relative desirability of a given neighborhood.  This can act as </w:t>
      </w:r>
      <w:r>
        <w:rPr>
          <w:rFonts w:ascii="Century Gothic" w:hAnsi="Century Gothic"/>
        </w:rPr>
        <w:lastRenderedPageBreak/>
        <w:t xml:space="preserve">the beginning for review notes that can be used the foundation for final review guidelines.  </w:t>
      </w:r>
    </w:p>
    <w:p w14:paraId="78E64627" w14:textId="77777777" w:rsidR="001704A8" w:rsidRDefault="001704A8" w:rsidP="00C13D3B">
      <w:pPr>
        <w:spacing w:line="320" w:lineRule="atLeast"/>
        <w:ind w:left="720" w:firstLine="0"/>
        <w:jc w:val="left"/>
        <w:rPr>
          <w:rFonts w:ascii="Century Gothic" w:hAnsi="Century Gothic"/>
        </w:rPr>
      </w:pPr>
    </w:p>
    <w:p w14:paraId="78E64628" w14:textId="77777777" w:rsidR="001704A8" w:rsidRDefault="001704A8" w:rsidP="00C13D3B">
      <w:pPr>
        <w:spacing w:line="320" w:lineRule="atLeast"/>
        <w:ind w:left="720" w:firstLine="0"/>
        <w:jc w:val="left"/>
        <w:rPr>
          <w:rFonts w:ascii="Century Gothic" w:hAnsi="Century Gothic"/>
        </w:rPr>
      </w:pPr>
    </w:p>
    <w:p w14:paraId="78E64629" w14:textId="77777777" w:rsidR="001704A8" w:rsidRDefault="001704A8" w:rsidP="00C13D3B">
      <w:pPr>
        <w:spacing w:line="320" w:lineRule="atLeast"/>
        <w:ind w:left="720" w:firstLine="0"/>
        <w:jc w:val="left"/>
        <w:rPr>
          <w:rFonts w:ascii="Century Gothic" w:hAnsi="Century Gothic"/>
        </w:rPr>
      </w:pPr>
    </w:p>
    <w:p w14:paraId="78E6462A" w14:textId="77777777" w:rsidR="001704A8" w:rsidRDefault="001704A8" w:rsidP="00C13D3B">
      <w:pPr>
        <w:spacing w:line="320" w:lineRule="atLeast"/>
        <w:ind w:left="720" w:firstLine="0"/>
        <w:jc w:val="left"/>
        <w:rPr>
          <w:rFonts w:ascii="Century Gothic" w:hAnsi="Century Gothic"/>
        </w:rPr>
      </w:pPr>
    </w:p>
    <w:p w14:paraId="78E6462B" w14:textId="77777777" w:rsidR="001704A8" w:rsidRDefault="001704A8" w:rsidP="00C13D3B">
      <w:pPr>
        <w:spacing w:line="320" w:lineRule="atLeast"/>
        <w:ind w:left="720" w:firstLine="0"/>
        <w:jc w:val="left"/>
        <w:rPr>
          <w:rFonts w:ascii="Century Gothic" w:hAnsi="Century Gothic"/>
        </w:rPr>
      </w:pPr>
    </w:p>
    <w:p w14:paraId="78E6462C" w14:textId="77777777" w:rsidR="001704A8" w:rsidRDefault="001704A8" w:rsidP="00C13D3B">
      <w:pPr>
        <w:spacing w:line="320" w:lineRule="atLeast"/>
        <w:ind w:left="720" w:firstLine="0"/>
        <w:jc w:val="left"/>
        <w:rPr>
          <w:rFonts w:ascii="Century Gothic" w:hAnsi="Century Gothic"/>
        </w:rPr>
      </w:pPr>
    </w:p>
    <w:p w14:paraId="78E6462D" w14:textId="77777777" w:rsidR="001704A8" w:rsidRDefault="001704A8" w:rsidP="00C13D3B">
      <w:pPr>
        <w:spacing w:line="320" w:lineRule="atLeast"/>
        <w:ind w:left="720" w:firstLine="0"/>
        <w:jc w:val="left"/>
        <w:rPr>
          <w:rFonts w:ascii="Century Gothic" w:hAnsi="Century Gothic"/>
        </w:rPr>
      </w:pPr>
    </w:p>
    <w:p w14:paraId="78E6462E" w14:textId="77777777" w:rsidR="001704A8" w:rsidRDefault="001704A8" w:rsidP="00C13D3B">
      <w:pPr>
        <w:spacing w:line="320" w:lineRule="atLeast"/>
        <w:ind w:left="720" w:firstLine="0"/>
        <w:jc w:val="left"/>
        <w:rPr>
          <w:rFonts w:ascii="Century Gothic" w:hAnsi="Century Gothic"/>
        </w:rPr>
      </w:pPr>
    </w:p>
    <w:p w14:paraId="78E6462F" w14:textId="77777777" w:rsidR="001704A8" w:rsidRDefault="001704A8" w:rsidP="00C13D3B">
      <w:pPr>
        <w:spacing w:line="320" w:lineRule="atLeast"/>
        <w:ind w:left="720" w:firstLine="0"/>
        <w:jc w:val="left"/>
        <w:rPr>
          <w:rFonts w:ascii="Century Gothic" w:hAnsi="Century Gothic"/>
        </w:rPr>
      </w:pPr>
    </w:p>
    <w:p w14:paraId="78E64630" w14:textId="77777777" w:rsidR="00B17F8A" w:rsidRDefault="00B17F8A" w:rsidP="00C13D3B">
      <w:pPr>
        <w:spacing w:line="320" w:lineRule="atLeast"/>
        <w:ind w:left="720" w:firstLine="0"/>
        <w:jc w:val="left"/>
        <w:rPr>
          <w:rFonts w:ascii="Century Gothic" w:hAnsi="Century Gothic"/>
        </w:rPr>
      </w:pPr>
    </w:p>
    <w:p w14:paraId="78E64631" w14:textId="77777777" w:rsidR="001704A8" w:rsidRPr="00DF0632" w:rsidRDefault="001704A8" w:rsidP="00C13D3B">
      <w:pPr>
        <w:spacing w:line="320" w:lineRule="atLeast"/>
        <w:ind w:left="720" w:firstLine="0"/>
        <w:jc w:val="left"/>
        <w:rPr>
          <w:rFonts w:ascii="Century Gothic" w:hAnsi="Century Gothic"/>
        </w:rPr>
      </w:pPr>
    </w:p>
    <w:p w14:paraId="78E64632" w14:textId="77777777" w:rsidR="00182664" w:rsidRDefault="00C13D3B" w:rsidP="001D77B3">
      <w:pPr>
        <w:pStyle w:val="Heading1"/>
      </w:pPr>
      <w:bookmarkStart w:id="7" w:name="_Toc395526919"/>
      <w:r>
        <w:t>Steps in the Analytical Process</w:t>
      </w:r>
      <w:bookmarkEnd w:id="7"/>
    </w:p>
    <w:p w14:paraId="78E64633" w14:textId="77777777" w:rsidR="00DB261B" w:rsidRDefault="00C05297" w:rsidP="00C13D3B">
      <w:pPr>
        <w:spacing w:line="320" w:lineRule="atLeast"/>
        <w:ind w:left="720" w:firstLine="0"/>
        <w:jc w:val="left"/>
        <w:rPr>
          <w:rFonts w:ascii="Century Gothic" w:hAnsi="Century Gothic"/>
        </w:rPr>
      </w:pPr>
      <w:r>
        <w:rPr>
          <w:rFonts w:ascii="Century Gothic" w:hAnsi="Century Gothic"/>
        </w:rPr>
        <w:t>D</w:t>
      </w:r>
      <w:r w:rsidR="00D569FB">
        <w:rPr>
          <w:rFonts w:ascii="Century Gothic" w:hAnsi="Century Gothic"/>
        </w:rPr>
        <w:t xml:space="preserve">elineation should begin at the macro level.  </w:t>
      </w:r>
      <w:r>
        <w:rPr>
          <w:rFonts w:ascii="Century Gothic" w:hAnsi="Century Gothic"/>
        </w:rPr>
        <w:t xml:space="preserve">In other words, start with fairly general boundaries and work to fine tune them to the micro level.  A good starting point is at </w:t>
      </w:r>
      <w:r w:rsidR="00D569FB">
        <w:rPr>
          <w:rFonts w:ascii="Century Gothic" w:hAnsi="Century Gothic"/>
        </w:rPr>
        <w:t xml:space="preserve">jurisdictional </w:t>
      </w:r>
      <w:r>
        <w:rPr>
          <w:rFonts w:ascii="Century Gothic" w:hAnsi="Century Gothic"/>
        </w:rPr>
        <w:t xml:space="preserve">level. Start by breaking neighborhoods by </w:t>
      </w:r>
      <w:r w:rsidR="00D569FB">
        <w:rPr>
          <w:rFonts w:ascii="Century Gothic" w:hAnsi="Century Gothic"/>
        </w:rPr>
        <w:t>township</w:t>
      </w:r>
      <w:r>
        <w:rPr>
          <w:rFonts w:ascii="Century Gothic" w:hAnsi="Century Gothic"/>
        </w:rPr>
        <w:t>s, villages</w:t>
      </w:r>
      <w:r w:rsidR="00D569FB">
        <w:rPr>
          <w:rFonts w:ascii="Century Gothic" w:hAnsi="Century Gothic"/>
        </w:rPr>
        <w:t xml:space="preserve"> an</w:t>
      </w:r>
      <w:r>
        <w:rPr>
          <w:rFonts w:ascii="Century Gothic" w:hAnsi="Century Gothic"/>
        </w:rPr>
        <w:t>d cities.</w:t>
      </w:r>
      <w:r w:rsidR="00D569FB">
        <w:rPr>
          <w:rFonts w:ascii="Century Gothic" w:hAnsi="Century Gothic"/>
        </w:rPr>
        <w:t xml:space="preserve"> </w:t>
      </w:r>
      <w:r w:rsidR="00DB261B">
        <w:rPr>
          <w:rFonts w:ascii="Century Gothic" w:hAnsi="Century Gothic"/>
        </w:rPr>
        <w:t>The example below shows a macro delineation based on jurisdiction.  It is easily understood as it follows generally accepted boundaries that taxpayers are</w:t>
      </w:r>
      <w:r>
        <w:rPr>
          <w:rFonts w:ascii="Century Gothic" w:hAnsi="Century Gothic"/>
        </w:rPr>
        <w:t xml:space="preserve"> already</w:t>
      </w:r>
      <w:r w:rsidR="00DB261B">
        <w:rPr>
          <w:rFonts w:ascii="Century Gothic" w:hAnsi="Century Gothic"/>
        </w:rPr>
        <w:t xml:space="preserve"> familiar with.  The NBHD identification prefix can be tied to the tax district</w:t>
      </w:r>
      <w:r w:rsidR="00292170">
        <w:rPr>
          <w:rFonts w:ascii="Century Gothic" w:hAnsi="Century Gothic"/>
        </w:rPr>
        <w:t xml:space="preserve"> which is geographical</w:t>
      </w:r>
      <w:r w:rsidR="001700C9">
        <w:rPr>
          <w:rFonts w:ascii="Century Gothic" w:hAnsi="Century Gothic"/>
        </w:rPr>
        <w:t xml:space="preserve">. </w:t>
      </w:r>
      <w:r w:rsidR="00770EAE">
        <w:rPr>
          <w:rFonts w:ascii="Century Gothic" w:hAnsi="Century Gothic"/>
        </w:rPr>
        <w:t>Tarrytown</w:t>
      </w:r>
      <w:r w:rsidR="001700C9">
        <w:rPr>
          <w:rFonts w:ascii="Century Gothic" w:hAnsi="Century Gothic"/>
        </w:rPr>
        <w:t xml:space="preserve"> = 01, </w:t>
      </w:r>
      <w:r w:rsidR="00770EAE">
        <w:rPr>
          <w:rFonts w:ascii="Century Gothic" w:hAnsi="Century Gothic"/>
        </w:rPr>
        <w:t>Irvington</w:t>
      </w:r>
      <w:r w:rsidR="001700C9">
        <w:rPr>
          <w:rFonts w:ascii="Century Gothic" w:hAnsi="Century Gothic"/>
        </w:rPr>
        <w:t xml:space="preserve"> = 02, </w:t>
      </w:r>
      <w:r w:rsidR="00770EAE">
        <w:rPr>
          <w:rFonts w:ascii="Century Gothic" w:hAnsi="Century Gothic"/>
        </w:rPr>
        <w:t>Dobbs Ferry</w:t>
      </w:r>
      <w:r w:rsidR="001700C9">
        <w:rPr>
          <w:rFonts w:ascii="Century Gothic" w:hAnsi="Century Gothic"/>
        </w:rPr>
        <w:t xml:space="preserve"> = 03, </w:t>
      </w:r>
      <w:r w:rsidR="00770EAE">
        <w:rPr>
          <w:rFonts w:ascii="Century Gothic" w:hAnsi="Century Gothic"/>
        </w:rPr>
        <w:t>Hastings</w:t>
      </w:r>
      <w:r w:rsidR="001700C9">
        <w:rPr>
          <w:rFonts w:ascii="Century Gothic" w:hAnsi="Century Gothic"/>
        </w:rPr>
        <w:t xml:space="preserve"> = 04 and </w:t>
      </w:r>
      <w:r w:rsidR="001700C9">
        <w:rPr>
          <w:rFonts w:ascii="Century Gothic" w:hAnsi="Century Gothic"/>
        </w:rPr>
        <w:lastRenderedPageBreak/>
        <w:t>so on.</w:t>
      </w:r>
      <w:r w:rsidR="006C65AD">
        <w:rPr>
          <w:rFonts w:ascii="Century Gothic" w:hAnsi="Century Gothic"/>
        </w:rPr>
        <w:t xml:space="preserve"> In some jurisdictions school district should also be considered as if can be a more important value determinant than municipality.</w:t>
      </w:r>
    </w:p>
    <w:p w14:paraId="78E64634" w14:textId="77777777" w:rsidR="00DB261B" w:rsidRPr="00292170" w:rsidRDefault="00DB07AF" w:rsidP="00C05297">
      <w:pPr>
        <w:keepNext/>
        <w:spacing w:line="320" w:lineRule="atLeast"/>
        <w:ind w:left="1152" w:firstLine="0"/>
        <w:jc w:val="left"/>
      </w:pPr>
      <w:r>
        <w:rPr>
          <w:rFonts w:ascii="Century Gothic" w:hAnsi="Century Gothic"/>
          <w:noProof/>
        </w:rPr>
        <w:lastRenderedPageBreak/>
        <mc:AlternateContent>
          <mc:Choice Requires="wps">
            <w:drawing>
              <wp:anchor distT="0" distB="0" distL="114300" distR="114300" simplePos="0" relativeHeight="251659264" behindDoc="0" locked="0" layoutInCell="1" allowOverlap="1" wp14:anchorId="78E6474A" wp14:editId="78E6474B">
                <wp:simplePos x="0" y="0"/>
                <wp:positionH relativeFrom="column">
                  <wp:posOffset>1759585</wp:posOffset>
                </wp:positionH>
                <wp:positionV relativeFrom="paragraph">
                  <wp:posOffset>5638800</wp:posOffset>
                </wp:positionV>
                <wp:extent cx="407670" cy="238760"/>
                <wp:effectExtent l="807085" t="180975" r="13970" b="8890"/>
                <wp:wrapNone/>
                <wp:docPr id="12"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7670" cy="238760"/>
                        </a:xfrm>
                        <a:prstGeom prst="wedgeRectCallout">
                          <a:avLst>
                            <a:gd name="adj1" fmla="val -244704"/>
                            <a:gd name="adj2" fmla="val -106917"/>
                          </a:avLst>
                        </a:prstGeom>
                        <a:solidFill>
                          <a:srgbClr val="FFFFFF"/>
                        </a:solidFill>
                        <a:ln w="9525">
                          <a:solidFill>
                            <a:srgbClr val="000000"/>
                          </a:solidFill>
                          <a:miter lim="800000"/>
                          <a:headEnd/>
                          <a:tailEnd/>
                        </a:ln>
                      </wps:spPr>
                      <wps:txbx>
                        <w:txbxContent>
                          <w:p w14:paraId="78E64774" w14:textId="77777777" w:rsidR="00466B67" w:rsidRDefault="00466B67" w:rsidP="00466B67">
                            <w:pPr>
                              <w:ind w:left="0"/>
                              <w:jc w:val="right"/>
                            </w:pPr>
                            <w:r>
                              <w:t>04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E6474A"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8" o:spid="_x0000_s1026" type="#_x0000_t61" style="position:absolute;left:0;text-align:left;margin-left:138.55pt;margin-top:444pt;width:32.1pt;height:18.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" adj="-42056,-12294">
                <v:textbox>
                  <w:txbxContent>
                    <w:p w14:paraId="78E64774" w14:textId="77777777" w:rsidR="00466B67" w:rsidRDefault="00466B67" w:rsidP="00466B67">
                      <w:pPr>
                        <w:ind w:left="0"/>
                        <w:jc w:val="right"/>
                      </w:pPr>
                      <w:r>
                        <w:t>04</w:t>
                      </w:r>
                    </w:p>
                  </w:txbxContent>
                </v:textbox>
              </v:shape>
            </w:pict>
          </mc:Fallback>
        </mc:AlternateContent>
      </w:r>
      <w:r>
        <w:rPr>
          <w:rFonts w:ascii="Century Gothic" w:hAnsi="Century Gothic"/>
          <w:noProof/>
        </w:rPr>
        <mc:AlternateContent>
          <mc:Choice Requires="wps">
            <w:drawing>
              <wp:anchor distT="0" distB="0" distL="114300" distR="114300" simplePos="0" relativeHeight="251657216" behindDoc="0" locked="0" layoutInCell="1" allowOverlap="1" wp14:anchorId="78E6474C" wp14:editId="78E6474D">
                <wp:simplePos x="0" y="0"/>
                <wp:positionH relativeFrom="column">
                  <wp:posOffset>2129155</wp:posOffset>
                </wp:positionH>
                <wp:positionV relativeFrom="paragraph">
                  <wp:posOffset>3074035</wp:posOffset>
                </wp:positionV>
                <wp:extent cx="347980" cy="257810"/>
                <wp:effectExtent l="595630" t="6985" r="8890" b="11430"/>
                <wp:wrapNone/>
                <wp:docPr id="8"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7980" cy="257810"/>
                        </a:xfrm>
                        <a:prstGeom prst="wedgeRectCallout">
                          <a:avLst>
                            <a:gd name="adj1" fmla="val -196352"/>
                            <a:gd name="adj2" fmla="val -9111"/>
                          </a:avLst>
                        </a:prstGeom>
                        <a:solidFill>
                          <a:srgbClr val="FFFFFF"/>
                        </a:solidFill>
                        <a:ln w="9525">
                          <a:solidFill>
                            <a:srgbClr val="000000"/>
                          </a:solidFill>
                          <a:miter lim="800000"/>
                          <a:headEnd/>
                          <a:tailEnd/>
                        </a:ln>
                      </wps:spPr>
                      <wps:txbx>
                        <w:txbxContent>
                          <w:p w14:paraId="78E64775" w14:textId="77777777" w:rsidR="00C05297" w:rsidRDefault="00C05297" w:rsidP="00C05297">
                            <w:pPr>
                              <w:ind w:left="0"/>
                              <w:jc w:val="right"/>
                            </w:pPr>
                            <w:r>
                              <w:t>02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E6474C" id="AutoShape 6" o:spid="_x0000_s1027" type="#_x0000_t61" style="position:absolute;left:0;text-align:left;margin-left:167.65pt;margin-top:242.05pt;width:27.4pt;height:20.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" adj="-31612,8832">
                <v:textbox>
                  <w:txbxContent>
                    <w:p w14:paraId="78E64775" w14:textId="77777777" w:rsidR="00C05297" w:rsidRDefault="00C05297" w:rsidP="00C05297">
                      <w:pPr>
                        <w:ind w:left="0"/>
                        <w:jc w:val="right"/>
                      </w:pPr>
                      <w:r>
                        <w:t>02</w:t>
                      </w:r>
                    </w:p>
                  </w:txbxContent>
                </v:textbox>
              </v:shape>
            </w:pict>
          </mc:Fallback>
        </mc:AlternateContent>
      </w:r>
      <w:r>
        <w:rPr>
          <w:rFonts w:ascii="Century Gothic" w:hAnsi="Century Gothic"/>
          <w:noProof/>
        </w:rPr>
        <mc:AlternateContent>
          <mc:Choice Requires="wps">
            <w:drawing>
              <wp:anchor distT="0" distB="0" distL="114300" distR="114300" simplePos="0" relativeHeight="251658240" behindDoc="0" locked="0" layoutInCell="1" allowOverlap="1" wp14:anchorId="78E6474E" wp14:editId="78E6474F">
                <wp:simplePos x="0" y="0"/>
                <wp:positionH relativeFrom="column">
                  <wp:posOffset>1722755</wp:posOffset>
                </wp:positionH>
                <wp:positionV relativeFrom="paragraph">
                  <wp:posOffset>4804410</wp:posOffset>
                </wp:positionV>
                <wp:extent cx="427355" cy="268605"/>
                <wp:effectExtent l="532130" t="470535" r="12065" b="13335"/>
                <wp:wrapNone/>
                <wp:docPr id="7"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7355" cy="268605"/>
                        </a:xfrm>
                        <a:prstGeom prst="wedgeRectCallout">
                          <a:avLst>
                            <a:gd name="adj1" fmla="val -171546"/>
                            <a:gd name="adj2" fmla="val -195625"/>
                          </a:avLst>
                        </a:prstGeom>
                        <a:solidFill>
                          <a:srgbClr val="FFFFFF"/>
                        </a:solidFill>
                        <a:ln w="9525">
                          <a:solidFill>
                            <a:srgbClr val="000000"/>
                          </a:solidFill>
                          <a:miter lim="800000"/>
                          <a:headEnd/>
                          <a:tailEnd/>
                        </a:ln>
                      </wps:spPr>
                      <wps:txbx>
                        <w:txbxContent>
                          <w:p w14:paraId="78E64776" w14:textId="77777777" w:rsidR="00C05297" w:rsidRDefault="00466B67" w:rsidP="00466B67">
                            <w:pPr>
                              <w:ind w:left="0"/>
                              <w:jc w:val="center"/>
                            </w:pPr>
                            <w:r>
                              <w:t>0            03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E6474E" id="AutoShape 7" o:spid="_x0000_s1028" type="#_x0000_t61" style="position:absolute;left:0;text-align:left;margin-left:135.65pt;margin-top:378.3pt;width:33.65pt;height:21.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" adj="-26254,-31455">
                <v:textbox>
                  <w:txbxContent>
                    <w:p w14:paraId="78E64776" w14:textId="77777777" w:rsidR="00C05297" w:rsidRDefault="00466B67" w:rsidP="00466B67">
                      <w:pPr>
                        <w:ind w:left="0"/>
                        <w:jc w:val="center"/>
                      </w:pPr>
                      <w:r>
                        <w:t>0            03</w:t>
                      </w:r>
                    </w:p>
                  </w:txbxContent>
                </v:textbox>
              </v:shape>
            </w:pict>
          </mc:Fallback>
        </mc:AlternateContent>
      </w:r>
      <w:r>
        <w:rPr>
          <w:rFonts w:ascii="Century Gothic" w:hAnsi="Century Gothic"/>
          <w:noProof/>
        </w:rPr>
        <mc:AlternateContent>
          <mc:Choice Requires="wps">
            <w:drawing>
              <wp:anchor distT="0" distB="0" distL="114300" distR="114300" simplePos="0" relativeHeight="251656192" behindDoc="0" locked="0" layoutInCell="1" allowOverlap="1" wp14:anchorId="78E64750" wp14:editId="78E64751">
                <wp:simplePos x="0" y="0"/>
                <wp:positionH relativeFrom="column">
                  <wp:posOffset>319405</wp:posOffset>
                </wp:positionH>
                <wp:positionV relativeFrom="paragraph">
                  <wp:posOffset>1143000</wp:posOffset>
                </wp:positionV>
                <wp:extent cx="347980" cy="268605"/>
                <wp:effectExtent l="5080" t="9525" r="313690" b="7620"/>
                <wp:wrapNone/>
                <wp:docPr id="6"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7980" cy="268605"/>
                        </a:xfrm>
                        <a:prstGeom prst="wedgeRectCallout">
                          <a:avLst>
                            <a:gd name="adj1" fmla="val 127009"/>
                            <a:gd name="adj2" fmla="val -32032"/>
                          </a:avLst>
                        </a:prstGeom>
                        <a:solidFill>
                          <a:srgbClr val="FFFFFF"/>
                        </a:solidFill>
                        <a:ln w="9525">
                          <a:solidFill>
                            <a:srgbClr val="000000"/>
                          </a:solidFill>
                          <a:miter lim="800000"/>
                          <a:headEnd/>
                          <a:tailEnd/>
                        </a:ln>
                      </wps:spPr>
                      <wps:txbx>
                        <w:txbxContent>
                          <w:p w14:paraId="78E64777" w14:textId="77777777" w:rsidR="00C05297" w:rsidRPr="00C05297" w:rsidRDefault="00C05297" w:rsidP="00C05297">
                            <w:pPr>
                              <w:ind w:left="0"/>
                              <w:jc w:val="right"/>
                              <w:rPr>
                                <w:sz w:val="18"/>
                                <w:szCs w:val="18"/>
                              </w:rPr>
                            </w:pPr>
                            <w:r>
                              <w:t>01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E64750" id="AutoShape 5" o:spid="_x0000_s1029" type="#_x0000_t61" style="position:absolute;left:0;text-align:left;margin-left:25.15pt;margin-top:90pt;width:27.4pt;height:21.1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" adj="38234,3881">
                <v:textbox>
                  <w:txbxContent>
                    <w:p w14:paraId="78E64777" w14:textId="77777777" w:rsidR="00C05297" w:rsidRPr="00C05297" w:rsidRDefault="00C05297" w:rsidP="00C05297">
                      <w:pPr>
                        <w:ind w:left="0"/>
                        <w:jc w:val="right"/>
                        <w:rPr>
                          <w:sz w:val="18"/>
                          <w:szCs w:val="18"/>
                        </w:rPr>
                      </w:pPr>
                      <w:r>
                        <w:t>01</w:t>
                      </w:r>
                    </w:p>
                  </w:txbxContent>
                </v:textbox>
              </v:shape>
            </w:pict>
          </mc:Fallback>
        </mc:AlternateContent>
      </w:r>
      <w:r w:rsidRPr="0098207B">
        <w:rPr>
          <w:noProof/>
        </w:rPr>
        <w:drawing>
          <wp:inline distT="0" distB="0" distL="0" distR="0" wp14:anchorId="78E64752" wp14:editId="78E64753">
            <wp:extent cx="4391025" cy="6619875"/>
            <wp:effectExtent l="0" t="0" r="9525" b="9525"/>
            <wp:docPr id="2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391025" cy="6619875"/>
                    </a:xfrm>
                    <a:prstGeom prst="rect">
                      <a:avLst/>
                    </a:prstGeom>
                    <a:noFill/>
                    <a:ln>
                      <a:noFill/>
                    </a:ln>
                  </pic:spPr>
                </pic:pic>
              </a:graphicData>
            </a:graphic>
          </wp:inline>
        </w:drawing>
      </w:r>
    </w:p>
    <w:p w14:paraId="78E64635" w14:textId="77777777" w:rsidR="00DB261B" w:rsidRDefault="00DB261B" w:rsidP="00C13D3B">
      <w:pPr>
        <w:spacing w:line="320" w:lineRule="atLeast"/>
        <w:ind w:left="720" w:firstLine="0"/>
        <w:jc w:val="left"/>
        <w:rPr>
          <w:rFonts w:ascii="Century Gothic" w:hAnsi="Century Gothic"/>
        </w:rPr>
      </w:pPr>
    </w:p>
    <w:p w14:paraId="78E64636" w14:textId="77777777" w:rsidR="00D569FB" w:rsidRPr="00D569FB" w:rsidRDefault="001700C9" w:rsidP="001700C9">
      <w:pPr>
        <w:spacing w:line="320" w:lineRule="atLeast"/>
        <w:ind w:left="720" w:firstLine="0"/>
        <w:jc w:val="left"/>
        <w:rPr>
          <w:rFonts w:ascii="Century Gothic" w:hAnsi="Century Gothic"/>
        </w:rPr>
      </w:pPr>
      <w:r>
        <w:rPr>
          <w:rFonts w:ascii="Century Gothic" w:hAnsi="Century Gothic"/>
        </w:rPr>
        <w:t xml:space="preserve">Within each macro neighborhood there may be smaller homogenous areas that should be identified separately.  </w:t>
      </w:r>
      <w:r w:rsidR="00466B67">
        <w:rPr>
          <w:rFonts w:ascii="Century Gothic" w:hAnsi="Century Gothic"/>
        </w:rPr>
        <w:t>Frequent</w:t>
      </w:r>
      <w:r w:rsidR="009B488A">
        <w:rPr>
          <w:rFonts w:ascii="Century Gothic" w:hAnsi="Century Gothic"/>
        </w:rPr>
        <w:t>ly</w:t>
      </w:r>
      <w:r w:rsidR="00466B67">
        <w:rPr>
          <w:rFonts w:ascii="Century Gothic" w:hAnsi="Century Gothic"/>
        </w:rPr>
        <w:t xml:space="preserve"> unique neighborhoods within a city or village are based on year built in the case of a newer subdivision or a historic district of downtown.  Towns may be subdivided based on the proximity to desire</w:t>
      </w:r>
      <w:r w:rsidR="00AE5C3F">
        <w:rPr>
          <w:rFonts w:ascii="Century Gothic" w:hAnsi="Century Gothic"/>
        </w:rPr>
        <w:t>d</w:t>
      </w:r>
      <w:r w:rsidR="00466B67">
        <w:rPr>
          <w:rFonts w:ascii="Century Gothic" w:hAnsi="Century Gothic"/>
        </w:rPr>
        <w:t xml:space="preserve"> amenities, access roads or subdivisions.  </w:t>
      </w:r>
    </w:p>
    <w:p w14:paraId="78E64637" w14:textId="77777777" w:rsidR="00B6269A" w:rsidRDefault="00B95389" w:rsidP="004D2C28">
      <w:pPr>
        <w:pStyle w:val="Heading2"/>
      </w:pPr>
      <w:bookmarkStart w:id="8" w:name="_Toc395526920"/>
      <w:r>
        <w:t>Step 1</w:t>
      </w:r>
      <w:bookmarkEnd w:id="8"/>
    </w:p>
    <w:p w14:paraId="78E64638" w14:textId="77777777" w:rsidR="00B6269A" w:rsidRDefault="00B6269A" w:rsidP="00947B13">
      <w:pPr>
        <w:spacing w:after="100" w:afterAutospacing="1"/>
        <w:ind w:left="1008" w:hanging="288"/>
        <w:jc w:val="left"/>
        <w:rPr>
          <w:rFonts w:ascii="Century Gothic" w:hAnsi="Century Gothic"/>
        </w:rPr>
      </w:pPr>
      <w:r>
        <w:rPr>
          <w:rFonts w:ascii="Century Gothic" w:hAnsi="Century Gothic"/>
        </w:rPr>
        <w:t xml:space="preserve">•  </w:t>
      </w:r>
      <w:r w:rsidR="00947B13">
        <w:rPr>
          <w:rFonts w:ascii="Century Gothic" w:hAnsi="Century Gothic"/>
        </w:rPr>
        <w:tab/>
      </w:r>
      <w:r>
        <w:rPr>
          <w:rFonts w:ascii="Century Gothic" w:hAnsi="Century Gothic"/>
        </w:rPr>
        <w:t xml:space="preserve">Obtain </w:t>
      </w:r>
      <w:r w:rsidR="00240BD7">
        <w:rPr>
          <w:rFonts w:ascii="Century Gothic" w:hAnsi="Century Gothic"/>
        </w:rPr>
        <w:t xml:space="preserve">several kinds of </w:t>
      </w:r>
      <w:r>
        <w:rPr>
          <w:rFonts w:ascii="Century Gothic" w:hAnsi="Century Gothic"/>
        </w:rPr>
        <w:t>maps –</w:t>
      </w:r>
      <w:r w:rsidR="00947B13">
        <w:rPr>
          <w:rFonts w:ascii="Century Gothic" w:hAnsi="Century Gothic"/>
        </w:rPr>
        <w:t xml:space="preserve"> Either traditional tax maps or GIS generated maps can be used.  Without cluttering the map, it is useful to have sale prices, lot dimensions and jurisdiction or subdivision lines included.</w:t>
      </w:r>
    </w:p>
    <w:p w14:paraId="78E64639" w14:textId="77777777" w:rsidR="001A2C27" w:rsidRDefault="00DB07AF" w:rsidP="001704A8">
      <w:pPr>
        <w:spacing w:after="100" w:afterAutospacing="1"/>
        <w:ind w:left="1008" w:hanging="288"/>
        <w:jc w:val="center"/>
        <w:rPr>
          <w:rFonts w:ascii="Century Gothic" w:hAnsi="Century Gothic"/>
        </w:rPr>
      </w:pPr>
      <w:r w:rsidRPr="0098207B">
        <w:rPr>
          <w:noProof/>
        </w:rPr>
        <w:drawing>
          <wp:inline distT="0" distB="0" distL="0" distR="0" wp14:anchorId="78E64754" wp14:editId="78E64755">
            <wp:extent cx="5191125" cy="3800475"/>
            <wp:effectExtent l="0" t="0" r="9525" b="9525"/>
            <wp:docPr id="2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191125" cy="3800475"/>
                    </a:xfrm>
                    <a:prstGeom prst="rect">
                      <a:avLst/>
                    </a:prstGeom>
                    <a:noFill/>
                    <a:ln>
                      <a:noFill/>
                    </a:ln>
                  </pic:spPr>
                </pic:pic>
              </a:graphicData>
            </a:graphic>
          </wp:inline>
        </w:drawing>
      </w:r>
    </w:p>
    <w:p w14:paraId="78E6463A" w14:textId="77777777" w:rsidR="001A2C27" w:rsidRDefault="001A2C27" w:rsidP="001A2C27">
      <w:pPr>
        <w:spacing w:after="100" w:afterAutospacing="1"/>
        <w:ind w:left="720" w:firstLine="0"/>
        <w:jc w:val="left"/>
        <w:rPr>
          <w:rFonts w:ascii="Century Gothic" w:hAnsi="Century Gothic"/>
        </w:rPr>
      </w:pPr>
      <w:r>
        <w:rPr>
          <w:rFonts w:ascii="Century Gothic" w:hAnsi="Century Gothic"/>
        </w:rPr>
        <w:lastRenderedPageBreak/>
        <w:t xml:space="preserve">The example above shows a sample of a </w:t>
      </w:r>
      <w:r w:rsidR="00DB07AF">
        <w:rPr>
          <w:rFonts w:ascii="Century Gothic" w:hAnsi="Century Gothic"/>
        </w:rPr>
        <w:t>section</w:t>
      </w:r>
      <w:r>
        <w:rPr>
          <w:rFonts w:ascii="Century Gothic" w:hAnsi="Century Gothic"/>
        </w:rPr>
        <w:t xml:space="preserve"> with fairly homogeneous land sizes while the example below indicates a change of land size and possible use.</w:t>
      </w:r>
    </w:p>
    <w:p w14:paraId="78E6463B" w14:textId="77777777" w:rsidR="00F81A7B" w:rsidRDefault="00DB07AF" w:rsidP="00DB07AF">
      <w:pPr>
        <w:spacing w:after="100" w:afterAutospacing="1"/>
        <w:ind w:left="1008" w:hanging="288"/>
        <w:rPr>
          <w:rFonts w:ascii="Century Gothic" w:hAnsi="Century Gothic"/>
        </w:rPr>
      </w:pPr>
      <w:r w:rsidRPr="0098207B">
        <w:rPr>
          <w:noProof/>
        </w:rPr>
        <w:drawing>
          <wp:inline distT="0" distB="0" distL="0" distR="0" wp14:anchorId="78E64756" wp14:editId="78E64757">
            <wp:extent cx="5467350" cy="3886200"/>
            <wp:effectExtent l="0" t="0" r="0" b="0"/>
            <wp:docPr id="2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67350" cy="3886200"/>
                    </a:xfrm>
                    <a:prstGeom prst="rect">
                      <a:avLst/>
                    </a:prstGeom>
                    <a:noFill/>
                    <a:ln>
                      <a:noFill/>
                    </a:ln>
                  </pic:spPr>
                </pic:pic>
              </a:graphicData>
            </a:graphic>
          </wp:inline>
        </w:drawing>
      </w:r>
    </w:p>
    <w:p w14:paraId="78E6463C" w14:textId="77777777" w:rsidR="00DB07AF" w:rsidRDefault="00DB07AF" w:rsidP="00F81A7B">
      <w:pPr>
        <w:spacing w:after="100" w:afterAutospacing="1"/>
        <w:ind w:left="720" w:firstLine="0"/>
        <w:jc w:val="left"/>
        <w:rPr>
          <w:rFonts w:ascii="Century Gothic" w:hAnsi="Century Gothic"/>
        </w:rPr>
      </w:pPr>
    </w:p>
    <w:p w14:paraId="78E6463D" w14:textId="77777777" w:rsidR="00DB07AF" w:rsidRDefault="00DB07AF" w:rsidP="00F81A7B">
      <w:pPr>
        <w:spacing w:after="100" w:afterAutospacing="1"/>
        <w:ind w:left="720" w:firstLine="0"/>
        <w:jc w:val="left"/>
        <w:rPr>
          <w:rFonts w:ascii="Century Gothic" w:hAnsi="Century Gothic"/>
        </w:rPr>
      </w:pPr>
    </w:p>
    <w:p w14:paraId="78E6463E" w14:textId="77777777" w:rsidR="00DB07AF" w:rsidRDefault="00DB07AF" w:rsidP="00F81A7B">
      <w:pPr>
        <w:spacing w:after="100" w:afterAutospacing="1"/>
        <w:ind w:left="720" w:firstLine="0"/>
        <w:jc w:val="left"/>
        <w:rPr>
          <w:rFonts w:ascii="Century Gothic" w:hAnsi="Century Gothic"/>
        </w:rPr>
      </w:pPr>
    </w:p>
    <w:p w14:paraId="78E6463F" w14:textId="77777777" w:rsidR="00DB07AF" w:rsidRDefault="00DB07AF" w:rsidP="00F81A7B">
      <w:pPr>
        <w:spacing w:after="100" w:afterAutospacing="1"/>
        <w:ind w:left="720" w:firstLine="0"/>
        <w:jc w:val="left"/>
        <w:rPr>
          <w:rFonts w:ascii="Century Gothic" w:hAnsi="Century Gothic"/>
        </w:rPr>
      </w:pPr>
    </w:p>
    <w:p w14:paraId="78E64640" w14:textId="77777777" w:rsidR="00DB07AF" w:rsidRDefault="00DB07AF" w:rsidP="00F81A7B">
      <w:pPr>
        <w:spacing w:after="100" w:afterAutospacing="1"/>
        <w:ind w:left="720" w:firstLine="0"/>
        <w:jc w:val="left"/>
        <w:rPr>
          <w:rFonts w:ascii="Century Gothic" w:hAnsi="Century Gothic"/>
        </w:rPr>
      </w:pPr>
    </w:p>
    <w:p w14:paraId="78E64641" w14:textId="77777777" w:rsidR="00DB07AF" w:rsidRDefault="00DB07AF" w:rsidP="00F81A7B">
      <w:pPr>
        <w:spacing w:after="100" w:afterAutospacing="1"/>
        <w:ind w:left="720" w:firstLine="0"/>
        <w:jc w:val="left"/>
        <w:rPr>
          <w:rFonts w:ascii="Century Gothic" w:hAnsi="Century Gothic"/>
        </w:rPr>
      </w:pPr>
    </w:p>
    <w:p w14:paraId="78E64642" w14:textId="77777777" w:rsidR="00DB07AF" w:rsidRDefault="00DB07AF" w:rsidP="00F81A7B">
      <w:pPr>
        <w:spacing w:after="100" w:afterAutospacing="1"/>
        <w:ind w:left="720" w:firstLine="0"/>
        <w:jc w:val="left"/>
        <w:rPr>
          <w:rFonts w:ascii="Century Gothic" w:hAnsi="Century Gothic"/>
        </w:rPr>
      </w:pPr>
    </w:p>
    <w:p w14:paraId="78E64643" w14:textId="77777777" w:rsidR="00DB07AF" w:rsidRDefault="00DB07AF" w:rsidP="00F81A7B">
      <w:pPr>
        <w:spacing w:after="100" w:afterAutospacing="1"/>
        <w:ind w:left="720" w:firstLine="0"/>
        <w:jc w:val="left"/>
        <w:rPr>
          <w:rFonts w:ascii="Century Gothic" w:hAnsi="Century Gothic"/>
        </w:rPr>
      </w:pPr>
    </w:p>
    <w:p w14:paraId="78E64644" w14:textId="77777777" w:rsidR="00DB07AF" w:rsidRDefault="00DB07AF" w:rsidP="00F81A7B">
      <w:pPr>
        <w:spacing w:after="100" w:afterAutospacing="1"/>
        <w:ind w:left="720" w:firstLine="0"/>
        <w:jc w:val="left"/>
        <w:rPr>
          <w:rFonts w:ascii="Century Gothic" w:hAnsi="Century Gothic"/>
        </w:rPr>
      </w:pPr>
    </w:p>
    <w:p w14:paraId="78E64645" w14:textId="77777777" w:rsidR="00DB07AF" w:rsidRDefault="00DB07AF" w:rsidP="00F81A7B">
      <w:pPr>
        <w:spacing w:after="100" w:afterAutospacing="1"/>
        <w:ind w:left="720" w:firstLine="0"/>
        <w:jc w:val="left"/>
        <w:rPr>
          <w:rFonts w:ascii="Century Gothic" w:hAnsi="Century Gothic"/>
        </w:rPr>
      </w:pPr>
    </w:p>
    <w:p w14:paraId="78E64646" w14:textId="77777777" w:rsidR="00DB07AF" w:rsidRDefault="00DB07AF" w:rsidP="00F81A7B">
      <w:pPr>
        <w:spacing w:after="100" w:afterAutospacing="1"/>
        <w:ind w:left="720" w:firstLine="0"/>
        <w:jc w:val="left"/>
        <w:rPr>
          <w:rFonts w:ascii="Century Gothic" w:hAnsi="Century Gothic"/>
        </w:rPr>
      </w:pPr>
    </w:p>
    <w:p w14:paraId="78E64647" w14:textId="77777777" w:rsidR="00DB07AF" w:rsidRDefault="00DB07AF" w:rsidP="00F81A7B">
      <w:pPr>
        <w:spacing w:after="100" w:afterAutospacing="1"/>
        <w:ind w:left="720" w:firstLine="0"/>
        <w:jc w:val="left"/>
        <w:rPr>
          <w:rFonts w:ascii="Century Gothic" w:hAnsi="Century Gothic"/>
        </w:rPr>
      </w:pPr>
    </w:p>
    <w:p w14:paraId="78E64648" w14:textId="77777777" w:rsidR="004F1621" w:rsidRDefault="00D71A62" w:rsidP="00F81A7B">
      <w:pPr>
        <w:spacing w:after="100" w:afterAutospacing="1"/>
        <w:ind w:left="720" w:firstLine="0"/>
        <w:jc w:val="left"/>
        <w:rPr>
          <w:rFonts w:ascii="Century Gothic" w:hAnsi="Century Gothic"/>
        </w:rPr>
      </w:pPr>
      <w:r>
        <w:rPr>
          <w:rFonts w:ascii="Century Gothic" w:hAnsi="Century Gothic"/>
        </w:rPr>
        <w:t>Zoning maps are usually available and can provide information on h</w:t>
      </w:r>
      <w:r w:rsidR="009B488A">
        <w:rPr>
          <w:rFonts w:ascii="Century Gothic" w:hAnsi="Century Gothic"/>
        </w:rPr>
        <w:t>ighest and best use</w:t>
      </w:r>
      <w:r w:rsidR="00F81A7B">
        <w:rPr>
          <w:rFonts w:ascii="Century Gothic" w:hAnsi="Century Gothic"/>
        </w:rPr>
        <w:t xml:space="preserve"> for parcels or restrictions </w:t>
      </w:r>
      <w:r w:rsidR="004F1621">
        <w:rPr>
          <w:rFonts w:ascii="Century Gothic" w:hAnsi="Century Gothic"/>
        </w:rPr>
        <w:t>on land use.</w:t>
      </w:r>
    </w:p>
    <w:p w14:paraId="78E64649" w14:textId="77777777" w:rsidR="009C61DF" w:rsidRDefault="00DB07AF" w:rsidP="00F81A7B">
      <w:pPr>
        <w:spacing w:after="100" w:afterAutospacing="1"/>
        <w:ind w:left="720" w:firstLine="0"/>
        <w:jc w:val="left"/>
        <w:rPr>
          <w:rFonts w:ascii="Century Gothic" w:hAnsi="Century Gothic"/>
        </w:rPr>
      </w:pPr>
      <w:r w:rsidRPr="0098207B">
        <w:rPr>
          <w:noProof/>
        </w:rPr>
        <w:lastRenderedPageBreak/>
        <w:drawing>
          <wp:inline distT="0" distB="0" distL="0" distR="0" wp14:anchorId="78E64758" wp14:editId="78E64759">
            <wp:extent cx="4619625" cy="6934200"/>
            <wp:effectExtent l="0" t="0" r="9525" b="0"/>
            <wp:docPr id="2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t="1489"/>
                    <a:stretch>
                      <a:fillRect/>
                    </a:stretch>
                  </pic:blipFill>
                  <pic:spPr bwMode="auto">
                    <a:xfrm>
                      <a:off x="0" y="0"/>
                      <a:ext cx="4619625" cy="6934200"/>
                    </a:xfrm>
                    <a:prstGeom prst="rect">
                      <a:avLst/>
                    </a:prstGeom>
                    <a:noFill/>
                    <a:ln>
                      <a:noFill/>
                    </a:ln>
                  </pic:spPr>
                </pic:pic>
              </a:graphicData>
            </a:graphic>
          </wp:inline>
        </w:drawing>
      </w:r>
    </w:p>
    <w:p w14:paraId="78E6464A" w14:textId="77777777" w:rsidR="00C72E9A" w:rsidRDefault="00C72E9A" w:rsidP="00947B13">
      <w:pPr>
        <w:spacing w:after="100" w:afterAutospacing="1"/>
        <w:ind w:left="1008" w:hanging="288"/>
        <w:jc w:val="left"/>
        <w:rPr>
          <w:rFonts w:ascii="Century Gothic" w:hAnsi="Century Gothic"/>
        </w:rPr>
      </w:pPr>
    </w:p>
    <w:p w14:paraId="78E6464B" w14:textId="77777777" w:rsidR="00C72E9A" w:rsidRDefault="00C72E9A" w:rsidP="00947B13">
      <w:pPr>
        <w:spacing w:after="100" w:afterAutospacing="1"/>
        <w:ind w:left="1008" w:hanging="288"/>
        <w:jc w:val="left"/>
        <w:rPr>
          <w:rFonts w:ascii="Century Gothic" w:hAnsi="Century Gothic"/>
        </w:rPr>
      </w:pPr>
    </w:p>
    <w:p w14:paraId="78E6464C" w14:textId="77777777" w:rsidR="000D2FED" w:rsidRDefault="000D2FED" w:rsidP="009D3EA6">
      <w:pPr>
        <w:spacing w:after="100" w:afterAutospacing="1"/>
        <w:ind w:left="1008" w:hanging="288"/>
        <w:jc w:val="left"/>
        <w:rPr>
          <w:rFonts w:ascii="Century Gothic" w:hAnsi="Century Gothic"/>
        </w:rPr>
      </w:pPr>
      <w:r>
        <w:rPr>
          <w:rFonts w:ascii="Century Gothic" w:hAnsi="Century Gothic"/>
        </w:rPr>
        <w:t xml:space="preserve">•  </w:t>
      </w:r>
      <w:r>
        <w:rPr>
          <w:rFonts w:ascii="Century Gothic" w:hAnsi="Century Gothic"/>
        </w:rPr>
        <w:tab/>
        <w:t>School District maps (sample below) show school boundaries that also impact tax rates and other variables that affect value.</w:t>
      </w:r>
    </w:p>
    <w:p w14:paraId="78E6464D" w14:textId="77777777" w:rsidR="00DB07AF" w:rsidRDefault="00DB07AF" w:rsidP="000D2FED">
      <w:pPr>
        <w:spacing w:after="100" w:afterAutospacing="1"/>
        <w:ind w:left="1008" w:hanging="288"/>
        <w:jc w:val="left"/>
        <w:rPr>
          <w:noProof/>
        </w:rPr>
      </w:pPr>
    </w:p>
    <w:p w14:paraId="78E6464E" w14:textId="77777777" w:rsidR="000D2FED" w:rsidRDefault="00DB07AF" w:rsidP="000D2FED">
      <w:pPr>
        <w:spacing w:after="100" w:afterAutospacing="1"/>
        <w:ind w:left="1008" w:hanging="288"/>
        <w:jc w:val="left"/>
        <w:rPr>
          <w:rFonts w:ascii="Century Gothic" w:hAnsi="Century Gothic"/>
        </w:rPr>
      </w:pPr>
      <w:r w:rsidRPr="0098207B">
        <w:rPr>
          <w:noProof/>
        </w:rPr>
        <w:lastRenderedPageBreak/>
        <w:drawing>
          <wp:inline distT="0" distB="0" distL="0" distR="0" wp14:anchorId="78E6475A" wp14:editId="78E6475B">
            <wp:extent cx="4495800" cy="6696075"/>
            <wp:effectExtent l="0" t="0" r="0" b="9525"/>
            <wp:docPr id="2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495800" cy="6696075"/>
                    </a:xfrm>
                    <a:prstGeom prst="rect">
                      <a:avLst/>
                    </a:prstGeom>
                    <a:noFill/>
                    <a:ln>
                      <a:noFill/>
                    </a:ln>
                  </pic:spPr>
                </pic:pic>
              </a:graphicData>
            </a:graphic>
          </wp:inline>
        </w:drawing>
      </w:r>
    </w:p>
    <w:p w14:paraId="78E6464F" w14:textId="77777777" w:rsidR="000D2FED" w:rsidRPr="00030EB3" w:rsidRDefault="00030EB3" w:rsidP="004D2C28">
      <w:pPr>
        <w:pStyle w:val="Heading2"/>
      </w:pPr>
      <w:bookmarkStart w:id="9" w:name="_Toc395526921"/>
      <w:r w:rsidRPr="00030EB3">
        <w:lastRenderedPageBreak/>
        <w:t>Step 2</w:t>
      </w:r>
      <w:bookmarkEnd w:id="9"/>
    </w:p>
    <w:p w14:paraId="78E64650" w14:textId="77777777" w:rsidR="00947B13" w:rsidRDefault="00947B13" w:rsidP="00947B13">
      <w:pPr>
        <w:spacing w:after="100" w:afterAutospacing="1"/>
        <w:ind w:left="1008" w:hanging="288"/>
        <w:jc w:val="left"/>
        <w:rPr>
          <w:rFonts w:ascii="Century Gothic" w:hAnsi="Century Gothic"/>
        </w:rPr>
      </w:pPr>
      <w:r>
        <w:rPr>
          <w:rFonts w:ascii="Century Gothic" w:hAnsi="Century Gothic"/>
        </w:rPr>
        <w:t xml:space="preserve">•  </w:t>
      </w:r>
      <w:r>
        <w:rPr>
          <w:rFonts w:ascii="Century Gothic" w:hAnsi="Century Gothic"/>
        </w:rPr>
        <w:tab/>
        <w:t>Visually establish preliminary neighborhood boundaries.  This can be done initially using land size as a starting point.  The age, condition, quality and type of improvement can all be used to set boundaries.</w:t>
      </w:r>
      <w:r w:rsidR="00C13D3B">
        <w:rPr>
          <w:rFonts w:ascii="Century Gothic" w:hAnsi="Century Gothic"/>
        </w:rPr>
        <w:t xml:space="preserve">  One can generate reports from CAMA or use GIS capabilities to highlight the data</w:t>
      </w:r>
      <w:r w:rsidR="00CA2357">
        <w:rPr>
          <w:rFonts w:ascii="Century Gothic" w:hAnsi="Century Gothic"/>
        </w:rPr>
        <w:t xml:space="preserve"> graphically</w:t>
      </w:r>
      <w:r w:rsidR="00C13D3B">
        <w:rPr>
          <w:rFonts w:ascii="Century Gothic" w:hAnsi="Century Gothic"/>
        </w:rPr>
        <w:t>.</w:t>
      </w:r>
    </w:p>
    <w:p w14:paraId="78E64651" w14:textId="77777777" w:rsidR="00240BD7" w:rsidRPr="00240BD7" w:rsidRDefault="00240BD7" w:rsidP="004D2C28">
      <w:pPr>
        <w:pStyle w:val="Heading2"/>
      </w:pPr>
      <w:bookmarkStart w:id="10" w:name="_Toc395526922"/>
      <w:r w:rsidRPr="00240BD7">
        <w:t xml:space="preserve">Step </w:t>
      </w:r>
      <w:r w:rsidR="00030EB3">
        <w:t>3</w:t>
      </w:r>
      <w:bookmarkEnd w:id="10"/>
    </w:p>
    <w:p w14:paraId="78E64652" w14:textId="77777777" w:rsidR="00947B13" w:rsidRDefault="00947B13" w:rsidP="00947B13">
      <w:pPr>
        <w:spacing w:after="100" w:afterAutospacing="1"/>
        <w:ind w:left="1008" w:hanging="288"/>
        <w:jc w:val="left"/>
        <w:rPr>
          <w:rFonts w:ascii="Century Gothic" w:hAnsi="Century Gothic"/>
        </w:rPr>
      </w:pPr>
      <w:r>
        <w:rPr>
          <w:rFonts w:ascii="Century Gothic" w:hAnsi="Century Gothic"/>
        </w:rPr>
        <w:t xml:space="preserve">•  </w:t>
      </w:r>
      <w:r>
        <w:rPr>
          <w:rFonts w:ascii="Century Gothic" w:hAnsi="Century Gothic"/>
        </w:rPr>
        <w:tab/>
        <w:t>Assemble and analyze supplemental material</w:t>
      </w:r>
      <w:r w:rsidR="00240BD7">
        <w:rPr>
          <w:rFonts w:ascii="Century Gothic" w:hAnsi="Century Gothic"/>
        </w:rPr>
        <w:t>, including median statistics by tax and school districts</w:t>
      </w:r>
    </w:p>
    <w:p w14:paraId="78E64653" w14:textId="77777777" w:rsidR="00947B13" w:rsidRDefault="00947B13" w:rsidP="00CA2357">
      <w:pPr>
        <w:numPr>
          <w:ilvl w:val="0"/>
          <w:numId w:val="3"/>
        </w:numPr>
        <w:spacing w:after="100" w:afterAutospacing="1" w:line="480" w:lineRule="auto"/>
        <w:jc w:val="left"/>
        <w:rPr>
          <w:rFonts w:ascii="Century Gothic" w:hAnsi="Century Gothic"/>
        </w:rPr>
      </w:pPr>
      <w:r>
        <w:rPr>
          <w:rFonts w:ascii="Century Gothic" w:hAnsi="Century Gothic"/>
        </w:rPr>
        <w:t>Field inspect proposed neighborhoods street-by-street</w:t>
      </w:r>
    </w:p>
    <w:p w14:paraId="78E64654" w14:textId="77777777" w:rsidR="00947B13" w:rsidRPr="00CA2357" w:rsidRDefault="00947B13" w:rsidP="00CA2357">
      <w:pPr>
        <w:numPr>
          <w:ilvl w:val="0"/>
          <w:numId w:val="3"/>
        </w:numPr>
        <w:spacing w:after="100" w:afterAutospacing="1"/>
        <w:jc w:val="left"/>
        <w:rPr>
          <w:rFonts w:ascii="Century Gothic" w:hAnsi="Century Gothic"/>
        </w:rPr>
      </w:pPr>
      <w:r w:rsidRPr="00CA2357">
        <w:rPr>
          <w:rFonts w:ascii="Century Gothic" w:hAnsi="Century Gothic"/>
        </w:rPr>
        <w:t xml:space="preserve">Establish boundaries and complete NBHD forms </w:t>
      </w:r>
    </w:p>
    <w:p w14:paraId="78E64655" w14:textId="77777777" w:rsidR="00182664" w:rsidRDefault="00947B13" w:rsidP="00C13D3B">
      <w:pPr>
        <w:spacing w:after="100" w:afterAutospacing="1"/>
        <w:ind w:left="1080" w:hanging="360"/>
        <w:jc w:val="left"/>
        <w:rPr>
          <w:rFonts w:ascii="Century Gothic" w:hAnsi="Century Gothic"/>
          <w:b/>
        </w:rPr>
      </w:pPr>
      <w:r>
        <w:rPr>
          <w:rFonts w:ascii="Century Gothic" w:hAnsi="Century Gothic"/>
          <w:b/>
        </w:rPr>
        <w:t xml:space="preserve">•  </w:t>
      </w:r>
      <w:r w:rsidR="00C13D3B">
        <w:rPr>
          <w:rFonts w:ascii="Century Gothic" w:hAnsi="Century Gothic"/>
          <w:b/>
        </w:rPr>
        <w:tab/>
      </w:r>
      <w:r w:rsidR="00182664">
        <w:rPr>
          <w:rFonts w:ascii="Century Gothic" w:hAnsi="Century Gothic"/>
        </w:rPr>
        <w:t xml:space="preserve">Analyze each NBHD to ensure the boundaries are appropriate and the </w:t>
      </w:r>
      <w:r w:rsidR="00C13D3B">
        <w:rPr>
          <w:rFonts w:ascii="Century Gothic" w:hAnsi="Century Gothic"/>
        </w:rPr>
        <w:t xml:space="preserve">NBHD </w:t>
      </w:r>
      <w:r w:rsidR="00182664" w:rsidRPr="00182664">
        <w:rPr>
          <w:rFonts w:ascii="Century Gothic" w:hAnsi="Century Gothic"/>
        </w:rPr>
        <w:t>represents a homogenous area.</w:t>
      </w:r>
      <w:r w:rsidR="00182664" w:rsidRPr="00182664">
        <w:rPr>
          <w:rFonts w:ascii="Century Gothic" w:hAnsi="Century Gothic"/>
          <w:b/>
        </w:rPr>
        <w:t xml:space="preserve"> </w:t>
      </w:r>
    </w:p>
    <w:p w14:paraId="78E64656" w14:textId="77777777" w:rsidR="00CB0C4B" w:rsidRDefault="00CB0C4B" w:rsidP="00CB0C4B">
      <w:pPr>
        <w:spacing w:after="100" w:afterAutospacing="1"/>
        <w:ind w:left="1152" w:firstLine="0"/>
        <w:jc w:val="left"/>
        <w:rPr>
          <w:rFonts w:ascii="Century Gothic" w:hAnsi="Century Gothic"/>
        </w:rPr>
      </w:pPr>
      <w:r>
        <w:rPr>
          <w:rFonts w:ascii="Century Gothic" w:hAnsi="Century Gothic"/>
        </w:rPr>
        <w:t>The ex</w:t>
      </w:r>
      <w:r w:rsidR="00D22D6B">
        <w:rPr>
          <w:rFonts w:ascii="Century Gothic" w:hAnsi="Century Gothic"/>
        </w:rPr>
        <w:t xml:space="preserve">ample below shows the mean and </w:t>
      </w:r>
      <w:r>
        <w:rPr>
          <w:rFonts w:ascii="Century Gothic" w:hAnsi="Century Gothic"/>
        </w:rPr>
        <w:t xml:space="preserve">maximum and minimum year built by NBHD.  NBHDs with higher </w:t>
      </w:r>
      <w:r w:rsidR="00B17F8A">
        <w:rPr>
          <w:rFonts w:ascii="Century Gothic" w:hAnsi="Century Gothic"/>
        </w:rPr>
        <w:t>procedure</w:t>
      </w:r>
      <w:r>
        <w:rPr>
          <w:rFonts w:ascii="Century Gothic" w:hAnsi="Century Gothic"/>
        </w:rPr>
        <w:t xml:space="preserve"> deviation may indicate a need to fine tune the NBHD boundaries.</w:t>
      </w:r>
    </w:p>
    <w:tbl>
      <w:tblPr>
        <w:tblW w:w="9378" w:type="dxa"/>
        <w:tblInd w:w="198" w:type="dxa"/>
        <w:tblLook w:val="04A0" w:firstRow="1" w:lastRow="0" w:firstColumn="1" w:lastColumn="0" w:noHBand="0" w:noVBand="1"/>
      </w:tblPr>
      <w:tblGrid>
        <w:gridCol w:w="1350"/>
        <w:gridCol w:w="990"/>
        <w:gridCol w:w="1170"/>
        <w:gridCol w:w="1080"/>
        <w:gridCol w:w="1350"/>
        <w:gridCol w:w="1170"/>
        <w:gridCol w:w="1350"/>
        <w:gridCol w:w="918"/>
      </w:tblGrid>
      <w:tr w:rsidR="00CB0C4B" w:rsidRPr="00CB0C4B" w14:paraId="78E6465F" w14:textId="77777777" w:rsidTr="00CB0C4B">
        <w:trPr>
          <w:trHeight w:val="255"/>
        </w:trPr>
        <w:tc>
          <w:tcPr>
            <w:tcW w:w="1350"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78E64657" w14:textId="77777777" w:rsidR="00CB0C4B" w:rsidRPr="00CB0C4B" w:rsidRDefault="00100668" w:rsidP="00CB0C4B">
            <w:pPr>
              <w:spacing w:after="0"/>
              <w:ind w:left="0" w:firstLine="0"/>
              <w:jc w:val="center"/>
              <w:rPr>
                <w:rFonts w:ascii="Arial" w:eastAsia="Times New Roman" w:hAnsi="Arial" w:cs="Arial"/>
                <w:b/>
                <w:bCs/>
                <w:sz w:val="20"/>
                <w:szCs w:val="20"/>
              </w:rPr>
            </w:pPr>
            <w:r>
              <w:rPr>
                <w:rFonts w:ascii="Arial" w:eastAsia="Times New Roman" w:hAnsi="Arial" w:cs="Arial"/>
                <w:b/>
                <w:bCs/>
                <w:sz w:val="20"/>
                <w:szCs w:val="20"/>
              </w:rPr>
              <w:t>N</w:t>
            </w:r>
            <w:r w:rsidR="00CB0C4B" w:rsidRPr="00CB0C4B">
              <w:rPr>
                <w:rFonts w:ascii="Arial" w:eastAsia="Times New Roman" w:hAnsi="Arial" w:cs="Arial"/>
                <w:b/>
                <w:bCs/>
                <w:sz w:val="20"/>
                <w:szCs w:val="20"/>
              </w:rPr>
              <w:t>BHD</w:t>
            </w:r>
          </w:p>
        </w:tc>
        <w:tc>
          <w:tcPr>
            <w:tcW w:w="990" w:type="dxa"/>
            <w:tcBorders>
              <w:top w:val="single" w:sz="4" w:space="0" w:color="auto"/>
              <w:left w:val="nil"/>
              <w:bottom w:val="single" w:sz="4" w:space="0" w:color="auto"/>
              <w:right w:val="single" w:sz="4" w:space="0" w:color="auto"/>
            </w:tcBorders>
            <w:shd w:val="clear" w:color="000000" w:fill="FFFF00"/>
            <w:noWrap/>
            <w:vAlign w:val="bottom"/>
            <w:hideMark/>
          </w:tcPr>
          <w:p w14:paraId="78E64658" w14:textId="77777777" w:rsidR="00CB0C4B" w:rsidRPr="00CB0C4B" w:rsidRDefault="00CB0C4B" w:rsidP="00CB0C4B">
            <w:pPr>
              <w:spacing w:after="0"/>
              <w:ind w:left="0" w:firstLine="0"/>
              <w:jc w:val="center"/>
              <w:rPr>
                <w:rFonts w:ascii="Arial" w:eastAsia="Times New Roman" w:hAnsi="Arial" w:cs="Arial"/>
                <w:b/>
                <w:bCs/>
                <w:sz w:val="20"/>
                <w:szCs w:val="20"/>
              </w:rPr>
            </w:pPr>
            <w:r w:rsidRPr="00CB0C4B">
              <w:rPr>
                <w:rFonts w:ascii="Arial" w:eastAsia="Times New Roman" w:hAnsi="Arial" w:cs="Arial"/>
                <w:b/>
                <w:bCs/>
                <w:sz w:val="20"/>
                <w:szCs w:val="20"/>
              </w:rPr>
              <w:t>Parcels</w:t>
            </w:r>
          </w:p>
        </w:tc>
        <w:tc>
          <w:tcPr>
            <w:tcW w:w="1170" w:type="dxa"/>
            <w:tcBorders>
              <w:top w:val="single" w:sz="4" w:space="0" w:color="auto"/>
              <w:left w:val="nil"/>
              <w:bottom w:val="single" w:sz="4" w:space="0" w:color="auto"/>
              <w:right w:val="single" w:sz="4" w:space="0" w:color="auto"/>
            </w:tcBorders>
            <w:shd w:val="clear" w:color="000000" w:fill="FFFF00"/>
            <w:noWrap/>
            <w:vAlign w:val="bottom"/>
            <w:hideMark/>
          </w:tcPr>
          <w:p w14:paraId="78E64659" w14:textId="77777777" w:rsidR="00CB0C4B" w:rsidRPr="00CB0C4B" w:rsidRDefault="00CB0C4B" w:rsidP="00CB0C4B">
            <w:pPr>
              <w:spacing w:after="0"/>
              <w:ind w:left="0" w:firstLine="0"/>
              <w:jc w:val="center"/>
              <w:rPr>
                <w:rFonts w:ascii="Arial" w:eastAsia="Times New Roman" w:hAnsi="Arial" w:cs="Arial"/>
                <w:b/>
                <w:bCs/>
                <w:sz w:val="20"/>
                <w:szCs w:val="20"/>
              </w:rPr>
            </w:pPr>
            <w:r w:rsidRPr="00CB0C4B">
              <w:rPr>
                <w:rFonts w:ascii="Arial" w:eastAsia="Times New Roman" w:hAnsi="Arial" w:cs="Arial"/>
                <w:b/>
                <w:bCs/>
                <w:sz w:val="20"/>
                <w:szCs w:val="20"/>
              </w:rPr>
              <w:t>Mean</w:t>
            </w:r>
          </w:p>
        </w:tc>
        <w:tc>
          <w:tcPr>
            <w:tcW w:w="1080" w:type="dxa"/>
            <w:tcBorders>
              <w:top w:val="single" w:sz="4" w:space="0" w:color="auto"/>
              <w:left w:val="nil"/>
              <w:bottom w:val="single" w:sz="4" w:space="0" w:color="auto"/>
              <w:right w:val="single" w:sz="4" w:space="0" w:color="auto"/>
            </w:tcBorders>
            <w:shd w:val="clear" w:color="000000" w:fill="FFFF00"/>
            <w:noWrap/>
            <w:vAlign w:val="bottom"/>
            <w:hideMark/>
          </w:tcPr>
          <w:p w14:paraId="78E6465A" w14:textId="77777777" w:rsidR="00CB0C4B" w:rsidRPr="00CB0C4B" w:rsidRDefault="00CB0C4B" w:rsidP="00CB0C4B">
            <w:pPr>
              <w:spacing w:after="0"/>
              <w:ind w:left="0" w:firstLine="0"/>
              <w:jc w:val="center"/>
              <w:rPr>
                <w:rFonts w:ascii="Arial" w:eastAsia="Times New Roman" w:hAnsi="Arial" w:cs="Arial"/>
                <w:b/>
                <w:bCs/>
                <w:sz w:val="20"/>
                <w:szCs w:val="20"/>
              </w:rPr>
            </w:pPr>
            <w:r w:rsidRPr="00CB0C4B">
              <w:rPr>
                <w:rFonts w:ascii="Arial" w:eastAsia="Times New Roman" w:hAnsi="Arial" w:cs="Arial"/>
                <w:b/>
                <w:bCs/>
                <w:sz w:val="20"/>
                <w:szCs w:val="20"/>
              </w:rPr>
              <w:t>Median</w:t>
            </w:r>
          </w:p>
        </w:tc>
        <w:tc>
          <w:tcPr>
            <w:tcW w:w="1350" w:type="dxa"/>
            <w:tcBorders>
              <w:top w:val="single" w:sz="4" w:space="0" w:color="auto"/>
              <w:left w:val="nil"/>
              <w:bottom w:val="single" w:sz="4" w:space="0" w:color="auto"/>
              <w:right w:val="single" w:sz="4" w:space="0" w:color="auto"/>
            </w:tcBorders>
            <w:shd w:val="clear" w:color="000000" w:fill="FFFF00"/>
            <w:noWrap/>
            <w:vAlign w:val="bottom"/>
            <w:hideMark/>
          </w:tcPr>
          <w:p w14:paraId="78E6465B" w14:textId="77777777" w:rsidR="00CB0C4B" w:rsidRPr="00CB0C4B" w:rsidRDefault="00CB0C4B" w:rsidP="00CB0C4B">
            <w:pPr>
              <w:spacing w:after="0"/>
              <w:ind w:left="0" w:firstLine="0"/>
              <w:jc w:val="center"/>
              <w:rPr>
                <w:rFonts w:ascii="Arial" w:eastAsia="Times New Roman" w:hAnsi="Arial" w:cs="Arial"/>
                <w:b/>
                <w:bCs/>
                <w:sz w:val="20"/>
                <w:szCs w:val="20"/>
              </w:rPr>
            </w:pPr>
            <w:r w:rsidRPr="00CB0C4B">
              <w:rPr>
                <w:rFonts w:ascii="Arial" w:eastAsia="Times New Roman" w:hAnsi="Arial" w:cs="Arial"/>
                <w:b/>
                <w:bCs/>
                <w:sz w:val="20"/>
                <w:szCs w:val="20"/>
              </w:rPr>
              <w:t>Minimum</w:t>
            </w:r>
          </w:p>
        </w:tc>
        <w:tc>
          <w:tcPr>
            <w:tcW w:w="1170" w:type="dxa"/>
            <w:tcBorders>
              <w:top w:val="single" w:sz="4" w:space="0" w:color="auto"/>
              <w:left w:val="nil"/>
              <w:bottom w:val="single" w:sz="4" w:space="0" w:color="auto"/>
              <w:right w:val="single" w:sz="4" w:space="0" w:color="auto"/>
            </w:tcBorders>
            <w:shd w:val="clear" w:color="000000" w:fill="FFFF00"/>
            <w:noWrap/>
            <w:vAlign w:val="bottom"/>
            <w:hideMark/>
          </w:tcPr>
          <w:p w14:paraId="78E6465C" w14:textId="77777777" w:rsidR="00CB0C4B" w:rsidRPr="00CB0C4B" w:rsidRDefault="00CB0C4B" w:rsidP="00CB0C4B">
            <w:pPr>
              <w:spacing w:after="0"/>
              <w:ind w:left="0" w:firstLine="0"/>
              <w:jc w:val="center"/>
              <w:rPr>
                <w:rFonts w:ascii="Arial" w:eastAsia="Times New Roman" w:hAnsi="Arial" w:cs="Arial"/>
                <w:b/>
                <w:bCs/>
                <w:sz w:val="20"/>
                <w:szCs w:val="20"/>
              </w:rPr>
            </w:pPr>
            <w:r w:rsidRPr="00CB0C4B">
              <w:rPr>
                <w:rFonts w:ascii="Arial" w:eastAsia="Times New Roman" w:hAnsi="Arial" w:cs="Arial"/>
                <w:b/>
                <w:bCs/>
                <w:sz w:val="20"/>
                <w:szCs w:val="20"/>
              </w:rPr>
              <w:t>Maximum</w:t>
            </w:r>
          </w:p>
        </w:tc>
        <w:tc>
          <w:tcPr>
            <w:tcW w:w="1350" w:type="dxa"/>
            <w:tcBorders>
              <w:top w:val="single" w:sz="4" w:space="0" w:color="auto"/>
              <w:left w:val="nil"/>
              <w:bottom w:val="single" w:sz="4" w:space="0" w:color="auto"/>
              <w:right w:val="single" w:sz="4" w:space="0" w:color="auto"/>
            </w:tcBorders>
            <w:shd w:val="clear" w:color="000000" w:fill="FFFF00"/>
            <w:noWrap/>
            <w:vAlign w:val="bottom"/>
            <w:hideMark/>
          </w:tcPr>
          <w:p w14:paraId="78E6465D" w14:textId="77777777" w:rsidR="00CB0C4B" w:rsidRPr="00CB0C4B" w:rsidRDefault="00CB0C4B" w:rsidP="00CB0C4B">
            <w:pPr>
              <w:spacing w:after="0"/>
              <w:ind w:left="0" w:firstLine="0"/>
              <w:jc w:val="center"/>
              <w:rPr>
                <w:rFonts w:ascii="Arial" w:eastAsia="Times New Roman" w:hAnsi="Arial" w:cs="Arial"/>
                <w:b/>
                <w:bCs/>
                <w:sz w:val="20"/>
                <w:szCs w:val="20"/>
              </w:rPr>
            </w:pPr>
            <w:r w:rsidRPr="00CB0C4B">
              <w:rPr>
                <w:rFonts w:ascii="Arial" w:eastAsia="Times New Roman" w:hAnsi="Arial" w:cs="Arial"/>
                <w:b/>
                <w:bCs/>
                <w:sz w:val="20"/>
                <w:szCs w:val="20"/>
              </w:rPr>
              <w:t>Std. Deviation</w:t>
            </w:r>
          </w:p>
        </w:tc>
        <w:tc>
          <w:tcPr>
            <w:tcW w:w="918" w:type="dxa"/>
            <w:tcBorders>
              <w:top w:val="single" w:sz="4" w:space="0" w:color="auto"/>
              <w:left w:val="nil"/>
              <w:bottom w:val="single" w:sz="4" w:space="0" w:color="auto"/>
              <w:right w:val="single" w:sz="4" w:space="0" w:color="auto"/>
            </w:tcBorders>
            <w:shd w:val="clear" w:color="000000" w:fill="FFFF00"/>
            <w:noWrap/>
            <w:vAlign w:val="bottom"/>
            <w:hideMark/>
          </w:tcPr>
          <w:p w14:paraId="78E6465E" w14:textId="77777777" w:rsidR="00CB0C4B" w:rsidRPr="00CB0C4B" w:rsidRDefault="00CB0C4B" w:rsidP="00CB0C4B">
            <w:pPr>
              <w:spacing w:after="0"/>
              <w:ind w:left="0" w:firstLine="0"/>
              <w:jc w:val="center"/>
              <w:rPr>
                <w:rFonts w:ascii="Arial" w:eastAsia="Times New Roman" w:hAnsi="Arial" w:cs="Arial"/>
                <w:b/>
                <w:bCs/>
                <w:sz w:val="20"/>
                <w:szCs w:val="20"/>
              </w:rPr>
            </w:pPr>
            <w:r w:rsidRPr="00CB0C4B">
              <w:rPr>
                <w:rFonts w:ascii="Arial" w:eastAsia="Times New Roman" w:hAnsi="Arial" w:cs="Arial"/>
                <w:b/>
                <w:bCs/>
                <w:sz w:val="20"/>
                <w:szCs w:val="20"/>
              </w:rPr>
              <w:t>yrblt  notes</w:t>
            </w:r>
          </w:p>
        </w:tc>
      </w:tr>
      <w:tr w:rsidR="00CB0C4B" w:rsidRPr="00CB0C4B" w14:paraId="78E64668" w14:textId="77777777" w:rsidTr="00CB0C4B">
        <w:trPr>
          <w:trHeight w:val="255"/>
        </w:trPr>
        <w:tc>
          <w:tcPr>
            <w:tcW w:w="1350" w:type="dxa"/>
            <w:tcBorders>
              <w:top w:val="nil"/>
              <w:left w:val="single" w:sz="4" w:space="0" w:color="auto"/>
              <w:bottom w:val="single" w:sz="4" w:space="0" w:color="auto"/>
              <w:right w:val="single" w:sz="4" w:space="0" w:color="auto"/>
            </w:tcBorders>
            <w:shd w:val="clear" w:color="auto" w:fill="auto"/>
            <w:noWrap/>
            <w:vAlign w:val="bottom"/>
            <w:hideMark/>
          </w:tcPr>
          <w:p w14:paraId="78E64660" w14:textId="77777777" w:rsidR="00CB0C4B" w:rsidRPr="00CB0C4B" w:rsidRDefault="00CB0C4B" w:rsidP="00CB0C4B">
            <w:pPr>
              <w:spacing w:after="0"/>
              <w:ind w:left="0" w:firstLine="0"/>
              <w:jc w:val="center"/>
              <w:rPr>
                <w:rFonts w:ascii="Arial" w:eastAsia="Times New Roman" w:hAnsi="Arial" w:cs="Arial"/>
                <w:sz w:val="20"/>
                <w:szCs w:val="20"/>
              </w:rPr>
            </w:pPr>
            <w:r w:rsidRPr="00CB0C4B">
              <w:rPr>
                <w:rFonts w:ascii="Arial" w:eastAsia="Times New Roman" w:hAnsi="Arial" w:cs="Arial"/>
                <w:sz w:val="20"/>
                <w:szCs w:val="20"/>
              </w:rPr>
              <w:t>26R01000</w:t>
            </w:r>
          </w:p>
        </w:tc>
        <w:tc>
          <w:tcPr>
            <w:tcW w:w="990" w:type="dxa"/>
            <w:tcBorders>
              <w:top w:val="nil"/>
              <w:left w:val="nil"/>
              <w:bottom w:val="single" w:sz="4" w:space="0" w:color="auto"/>
              <w:right w:val="single" w:sz="4" w:space="0" w:color="auto"/>
            </w:tcBorders>
            <w:shd w:val="clear" w:color="auto" w:fill="auto"/>
            <w:noWrap/>
            <w:vAlign w:val="bottom"/>
            <w:hideMark/>
          </w:tcPr>
          <w:p w14:paraId="78E64661" w14:textId="77777777" w:rsidR="00CB0C4B" w:rsidRPr="00CB0C4B" w:rsidRDefault="00CB0C4B" w:rsidP="00CB0C4B">
            <w:pPr>
              <w:spacing w:after="0"/>
              <w:ind w:left="0" w:firstLine="0"/>
              <w:jc w:val="center"/>
              <w:rPr>
                <w:rFonts w:ascii="Arial" w:eastAsia="Times New Roman" w:hAnsi="Arial" w:cs="Arial"/>
                <w:sz w:val="20"/>
                <w:szCs w:val="20"/>
              </w:rPr>
            </w:pPr>
            <w:r w:rsidRPr="00CB0C4B">
              <w:rPr>
                <w:rFonts w:ascii="Arial" w:eastAsia="Times New Roman" w:hAnsi="Arial" w:cs="Arial"/>
                <w:sz w:val="20"/>
                <w:szCs w:val="20"/>
              </w:rPr>
              <w:t>20</w:t>
            </w:r>
          </w:p>
        </w:tc>
        <w:tc>
          <w:tcPr>
            <w:tcW w:w="1170" w:type="dxa"/>
            <w:tcBorders>
              <w:top w:val="nil"/>
              <w:left w:val="nil"/>
              <w:bottom w:val="single" w:sz="4" w:space="0" w:color="auto"/>
              <w:right w:val="single" w:sz="4" w:space="0" w:color="auto"/>
            </w:tcBorders>
            <w:shd w:val="clear" w:color="auto" w:fill="auto"/>
            <w:noWrap/>
            <w:vAlign w:val="bottom"/>
            <w:hideMark/>
          </w:tcPr>
          <w:p w14:paraId="78E64662" w14:textId="77777777" w:rsidR="00CB0C4B" w:rsidRPr="00CB0C4B" w:rsidRDefault="00CB0C4B" w:rsidP="00CB0C4B">
            <w:pPr>
              <w:spacing w:after="0"/>
              <w:ind w:left="0" w:firstLine="0"/>
              <w:jc w:val="center"/>
              <w:rPr>
                <w:rFonts w:ascii="Arial" w:eastAsia="Times New Roman" w:hAnsi="Arial" w:cs="Arial"/>
                <w:sz w:val="20"/>
                <w:szCs w:val="20"/>
              </w:rPr>
            </w:pPr>
            <w:r w:rsidRPr="00CB0C4B">
              <w:rPr>
                <w:rFonts w:ascii="Arial" w:eastAsia="Times New Roman" w:hAnsi="Arial" w:cs="Arial"/>
                <w:sz w:val="20"/>
                <w:szCs w:val="20"/>
              </w:rPr>
              <w:t>1992.90</w:t>
            </w:r>
          </w:p>
        </w:tc>
        <w:tc>
          <w:tcPr>
            <w:tcW w:w="1080" w:type="dxa"/>
            <w:tcBorders>
              <w:top w:val="nil"/>
              <w:left w:val="nil"/>
              <w:bottom w:val="single" w:sz="4" w:space="0" w:color="auto"/>
              <w:right w:val="single" w:sz="4" w:space="0" w:color="auto"/>
            </w:tcBorders>
            <w:shd w:val="clear" w:color="auto" w:fill="auto"/>
            <w:noWrap/>
            <w:vAlign w:val="bottom"/>
            <w:hideMark/>
          </w:tcPr>
          <w:p w14:paraId="78E64663" w14:textId="77777777" w:rsidR="00CB0C4B" w:rsidRPr="00CB0C4B" w:rsidRDefault="00CB0C4B" w:rsidP="00CB0C4B">
            <w:pPr>
              <w:spacing w:after="0"/>
              <w:ind w:left="0" w:firstLine="0"/>
              <w:jc w:val="center"/>
              <w:rPr>
                <w:rFonts w:ascii="Arial" w:eastAsia="Times New Roman" w:hAnsi="Arial" w:cs="Arial"/>
                <w:sz w:val="20"/>
                <w:szCs w:val="20"/>
              </w:rPr>
            </w:pPr>
            <w:r w:rsidRPr="00CB0C4B">
              <w:rPr>
                <w:rFonts w:ascii="Arial" w:eastAsia="Times New Roman" w:hAnsi="Arial" w:cs="Arial"/>
                <w:sz w:val="20"/>
                <w:szCs w:val="20"/>
              </w:rPr>
              <w:t>1993</w:t>
            </w:r>
          </w:p>
        </w:tc>
        <w:tc>
          <w:tcPr>
            <w:tcW w:w="1350" w:type="dxa"/>
            <w:tcBorders>
              <w:top w:val="nil"/>
              <w:left w:val="nil"/>
              <w:bottom w:val="single" w:sz="4" w:space="0" w:color="auto"/>
              <w:right w:val="single" w:sz="4" w:space="0" w:color="auto"/>
            </w:tcBorders>
            <w:shd w:val="clear" w:color="auto" w:fill="auto"/>
            <w:noWrap/>
            <w:vAlign w:val="bottom"/>
            <w:hideMark/>
          </w:tcPr>
          <w:p w14:paraId="78E64664" w14:textId="77777777" w:rsidR="00CB0C4B" w:rsidRPr="00CB0C4B" w:rsidRDefault="00CB0C4B" w:rsidP="00CB0C4B">
            <w:pPr>
              <w:spacing w:after="0"/>
              <w:ind w:left="0" w:firstLine="0"/>
              <w:jc w:val="center"/>
              <w:rPr>
                <w:rFonts w:ascii="Arial" w:eastAsia="Times New Roman" w:hAnsi="Arial" w:cs="Arial"/>
                <w:sz w:val="20"/>
                <w:szCs w:val="20"/>
              </w:rPr>
            </w:pPr>
            <w:r w:rsidRPr="00CB0C4B">
              <w:rPr>
                <w:rFonts w:ascii="Arial" w:eastAsia="Times New Roman" w:hAnsi="Arial" w:cs="Arial"/>
                <w:sz w:val="20"/>
                <w:szCs w:val="20"/>
              </w:rPr>
              <w:t>1992</w:t>
            </w:r>
          </w:p>
        </w:tc>
        <w:tc>
          <w:tcPr>
            <w:tcW w:w="1170" w:type="dxa"/>
            <w:tcBorders>
              <w:top w:val="nil"/>
              <w:left w:val="nil"/>
              <w:bottom w:val="single" w:sz="4" w:space="0" w:color="auto"/>
              <w:right w:val="single" w:sz="4" w:space="0" w:color="auto"/>
            </w:tcBorders>
            <w:shd w:val="clear" w:color="auto" w:fill="auto"/>
            <w:noWrap/>
            <w:vAlign w:val="bottom"/>
            <w:hideMark/>
          </w:tcPr>
          <w:p w14:paraId="78E64665" w14:textId="77777777" w:rsidR="00CB0C4B" w:rsidRPr="00CB0C4B" w:rsidRDefault="00CB0C4B" w:rsidP="00CB0C4B">
            <w:pPr>
              <w:spacing w:after="0"/>
              <w:ind w:left="0" w:firstLine="0"/>
              <w:jc w:val="center"/>
              <w:rPr>
                <w:rFonts w:ascii="Arial" w:eastAsia="Times New Roman" w:hAnsi="Arial" w:cs="Arial"/>
                <w:sz w:val="20"/>
                <w:szCs w:val="20"/>
              </w:rPr>
            </w:pPr>
            <w:r w:rsidRPr="00CB0C4B">
              <w:rPr>
                <w:rFonts w:ascii="Arial" w:eastAsia="Times New Roman" w:hAnsi="Arial" w:cs="Arial"/>
                <w:sz w:val="20"/>
                <w:szCs w:val="20"/>
              </w:rPr>
              <w:t>1993</w:t>
            </w:r>
          </w:p>
        </w:tc>
        <w:tc>
          <w:tcPr>
            <w:tcW w:w="1350" w:type="dxa"/>
            <w:tcBorders>
              <w:top w:val="nil"/>
              <w:left w:val="nil"/>
              <w:bottom w:val="single" w:sz="4" w:space="0" w:color="auto"/>
              <w:right w:val="single" w:sz="4" w:space="0" w:color="auto"/>
            </w:tcBorders>
            <w:shd w:val="clear" w:color="auto" w:fill="auto"/>
            <w:noWrap/>
            <w:vAlign w:val="bottom"/>
            <w:hideMark/>
          </w:tcPr>
          <w:p w14:paraId="78E64666" w14:textId="77777777" w:rsidR="00CB0C4B" w:rsidRPr="00CB0C4B" w:rsidRDefault="00CB0C4B" w:rsidP="00CB0C4B">
            <w:pPr>
              <w:spacing w:after="0"/>
              <w:ind w:left="0" w:firstLine="0"/>
              <w:jc w:val="center"/>
              <w:rPr>
                <w:rFonts w:ascii="Arial" w:eastAsia="Times New Roman" w:hAnsi="Arial" w:cs="Arial"/>
                <w:sz w:val="20"/>
                <w:szCs w:val="20"/>
              </w:rPr>
            </w:pPr>
            <w:r w:rsidRPr="00CB0C4B">
              <w:rPr>
                <w:rFonts w:ascii="Arial" w:eastAsia="Times New Roman" w:hAnsi="Arial" w:cs="Arial"/>
                <w:sz w:val="20"/>
                <w:szCs w:val="20"/>
              </w:rPr>
              <w:t>0.31</w:t>
            </w:r>
          </w:p>
        </w:tc>
        <w:tc>
          <w:tcPr>
            <w:tcW w:w="918" w:type="dxa"/>
            <w:tcBorders>
              <w:top w:val="nil"/>
              <w:left w:val="nil"/>
              <w:bottom w:val="single" w:sz="4" w:space="0" w:color="auto"/>
              <w:right w:val="single" w:sz="4" w:space="0" w:color="auto"/>
            </w:tcBorders>
            <w:shd w:val="clear" w:color="auto" w:fill="auto"/>
            <w:noWrap/>
            <w:vAlign w:val="bottom"/>
            <w:hideMark/>
          </w:tcPr>
          <w:p w14:paraId="78E64667" w14:textId="77777777" w:rsidR="00CB0C4B" w:rsidRPr="00CB0C4B" w:rsidRDefault="00CB0C4B" w:rsidP="00CB0C4B">
            <w:pPr>
              <w:spacing w:after="0"/>
              <w:ind w:left="0" w:firstLine="0"/>
              <w:jc w:val="center"/>
              <w:rPr>
                <w:rFonts w:ascii="Arial" w:eastAsia="Times New Roman" w:hAnsi="Arial" w:cs="Arial"/>
                <w:sz w:val="20"/>
                <w:szCs w:val="20"/>
              </w:rPr>
            </w:pPr>
            <w:r w:rsidRPr="00CB0C4B">
              <w:rPr>
                <w:rFonts w:ascii="Arial" w:eastAsia="Times New Roman" w:hAnsi="Arial" w:cs="Arial"/>
                <w:sz w:val="20"/>
                <w:szCs w:val="20"/>
              </w:rPr>
              <w:t> </w:t>
            </w:r>
          </w:p>
        </w:tc>
      </w:tr>
      <w:tr w:rsidR="00CB0C4B" w:rsidRPr="00CB0C4B" w14:paraId="78E64671" w14:textId="77777777" w:rsidTr="00CB0C4B">
        <w:trPr>
          <w:trHeight w:val="255"/>
        </w:trPr>
        <w:tc>
          <w:tcPr>
            <w:tcW w:w="1350" w:type="dxa"/>
            <w:tcBorders>
              <w:top w:val="nil"/>
              <w:left w:val="single" w:sz="4" w:space="0" w:color="auto"/>
              <w:bottom w:val="single" w:sz="4" w:space="0" w:color="auto"/>
              <w:right w:val="single" w:sz="4" w:space="0" w:color="auto"/>
            </w:tcBorders>
            <w:shd w:val="clear" w:color="auto" w:fill="auto"/>
            <w:noWrap/>
            <w:vAlign w:val="bottom"/>
            <w:hideMark/>
          </w:tcPr>
          <w:p w14:paraId="78E64669" w14:textId="77777777" w:rsidR="00CB0C4B" w:rsidRPr="00CB0C4B" w:rsidRDefault="00CB0C4B" w:rsidP="00CB0C4B">
            <w:pPr>
              <w:spacing w:after="0"/>
              <w:ind w:left="0" w:firstLine="0"/>
              <w:jc w:val="center"/>
              <w:rPr>
                <w:rFonts w:ascii="Arial" w:eastAsia="Times New Roman" w:hAnsi="Arial" w:cs="Arial"/>
                <w:sz w:val="20"/>
                <w:szCs w:val="20"/>
              </w:rPr>
            </w:pPr>
            <w:r w:rsidRPr="00CB0C4B">
              <w:rPr>
                <w:rFonts w:ascii="Arial" w:eastAsia="Times New Roman" w:hAnsi="Arial" w:cs="Arial"/>
                <w:sz w:val="20"/>
                <w:szCs w:val="20"/>
              </w:rPr>
              <w:t>15R03000</w:t>
            </w:r>
          </w:p>
        </w:tc>
        <w:tc>
          <w:tcPr>
            <w:tcW w:w="990" w:type="dxa"/>
            <w:tcBorders>
              <w:top w:val="nil"/>
              <w:left w:val="nil"/>
              <w:bottom w:val="single" w:sz="4" w:space="0" w:color="auto"/>
              <w:right w:val="single" w:sz="4" w:space="0" w:color="auto"/>
            </w:tcBorders>
            <w:shd w:val="clear" w:color="auto" w:fill="auto"/>
            <w:noWrap/>
            <w:vAlign w:val="bottom"/>
            <w:hideMark/>
          </w:tcPr>
          <w:p w14:paraId="78E6466A" w14:textId="77777777" w:rsidR="00CB0C4B" w:rsidRPr="00CB0C4B" w:rsidRDefault="00CB0C4B" w:rsidP="00CB0C4B">
            <w:pPr>
              <w:spacing w:after="0"/>
              <w:ind w:left="0" w:firstLine="0"/>
              <w:jc w:val="center"/>
              <w:rPr>
                <w:rFonts w:ascii="Arial" w:eastAsia="Times New Roman" w:hAnsi="Arial" w:cs="Arial"/>
                <w:sz w:val="20"/>
                <w:szCs w:val="20"/>
              </w:rPr>
            </w:pPr>
            <w:r w:rsidRPr="00CB0C4B">
              <w:rPr>
                <w:rFonts w:ascii="Arial" w:eastAsia="Times New Roman" w:hAnsi="Arial" w:cs="Arial"/>
                <w:sz w:val="20"/>
                <w:szCs w:val="20"/>
              </w:rPr>
              <w:t>56</w:t>
            </w:r>
          </w:p>
        </w:tc>
        <w:tc>
          <w:tcPr>
            <w:tcW w:w="1170" w:type="dxa"/>
            <w:tcBorders>
              <w:top w:val="nil"/>
              <w:left w:val="nil"/>
              <w:bottom w:val="single" w:sz="4" w:space="0" w:color="auto"/>
              <w:right w:val="single" w:sz="4" w:space="0" w:color="auto"/>
            </w:tcBorders>
            <w:shd w:val="clear" w:color="auto" w:fill="auto"/>
            <w:noWrap/>
            <w:vAlign w:val="bottom"/>
            <w:hideMark/>
          </w:tcPr>
          <w:p w14:paraId="78E6466B" w14:textId="77777777" w:rsidR="00CB0C4B" w:rsidRPr="00CB0C4B" w:rsidRDefault="00CB0C4B" w:rsidP="00CB0C4B">
            <w:pPr>
              <w:spacing w:after="0"/>
              <w:ind w:left="0" w:firstLine="0"/>
              <w:jc w:val="center"/>
              <w:rPr>
                <w:rFonts w:ascii="Arial" w:eastAsia="Times New Roman" w:hAnsi="Arial" w:cs="Arial"/>
                <w:sz w:val="20"/>
                <w:szCs w:val="20"/>
              </w:rPr>
            </w:pPr>
            <w:r w:rsidRPr="00CB0C4B">
              <w:rPr>
                <w:rFonts w:ascii="Arial" w:eastAsia="Times New Roman" w:hAnsi="Arial" w:cs="Arial"/>
                <w:sz w:val="20"/>
                <w:szCs w:val="20"/>
              </w:rPr>
              <w:t>1979.11</w:t>
            </w:r>
          </w:p>
        </w:tc>
        <w:tc>
          <w:tcPr>
            <w:tcW w:w="1080" w:type="dxa"/>
            <w:tcBorders>
              <w:top w:val="nil"/>
              <w:left w:val="nil"/>
              <w:bottom w:val="single" w:sz="4" w:space="0" w:color="auto"/>
              <w:right w:val="single" w:sz="4" w:space="0" w:color="auto"/>
            </w:tcBorders>
            <w:shd w:val="clear" w:color="auto" w:fill="auto"/>
            <w:noWrap/>
            <w:vAlign w:val="bottom"/>
            <w:hideMark/>
          </w:tcPr>
          <w:p w14:paraId="78E6466C" w14:textId="77777777" w:rsidR="00CB0C4B" w:rsidRPr="00CB0C4B" w:rsidRDefault="00CB0C4B" w:rsidP="00CB0C4B">
            <w:pPr>
              <w:spacing w:after="0"/>
              <w:ind w:left="0" w:firstLine="0"/>
              <w:jc w:val="center"/>
              <w:rPr>
                <w:rFonts w:ascii="Arial" w:eastAsia="Times New Roman" w:hAnsi="Arial" w:cs="Arial"/>
                <w:sz w:val="20"/>
                <w:szCs w:val="20"/>
              </w:rPr>
            </w:pPr>
            <w:r w:rsidRPr="00CB0C4B">
              <w:rPr>
                <w:rFonts w:ascii="Arial" w:eastAsia="Times New Roman" w:hAnsi="Arial" w:cs="Arial"/>
                <w:sz w:val="20"/>
                <w:szCs w:val="20"/>
              </w:rPr>
              <w:t>1979</w:t>
            </w:r>
          </w:p>
        </w:tc>
        <w:tc>
          <w:tcPr>
            <w:tcW w:w="1350" w:type="dxa"/>
            <w:tcBorders>
              <w:top w:val="nil"/>
              <w:left w:val="nil"/>
              <w:bottom w:val="single" w:sz="4" w:space="0" w:color="auto"/>
              <w:right w:val="single" w:sz="4" w:space="0" w:color="auto"/>
            </w:tcBorders>
            <w:shd w:val="clear" w:color="auto" w:fill="auto"/>
            <w:noWrap/>
            <w:vAlign w:val="bottom"/>
            <w:hideMark/>
          </w:tcPr>
          <w:p w14:paraId="78E6466D" w14:textId="77777777" w:rsidR="00CB0C4B" w:rsidRPr="00CB0C4B" w:rsidRDefault="00CB0C4B" w:rsidP="00CB0C4B">
            <w:pPr>
              <w:spacing w:after="0"/>
              <w:ind w:left="0" w:firstLine="0"/>
              <w:jc w:val="center"/>
              <w:rPr>
                <w:rFonts w:ascii="Arial" w:eastAsia="Times New Roman" w:hAnsi="Arial" w:cs="Arial"/>
                <w:sz w:val="20"/>
                <w:szCs w:val="20"/>
              </w:rPr>
            </w:pPr>
            <w:r w:rsidRPr="00CB0C4B">
              <w:rPr>
                <w:rFonts w:ascii="Arial" w:eastAsia="Times New Roman" w:hAnsi="Arial" w:cs="Arial"/>
                <w:sz w:val="20"/>
                <w:szCs w:val="20"/>
              </w:rPr>
              <w:t>1979</w:t>
            </w:r>
          </w:p>
        </w:tc>
        <w:tc>
          <w:tcPr>
            <w:tcW w:w="1170" w:type="dxa"/>
            <w:tcBorders>
              <w:top w:val="nil"/>
              <w:left w:val="nil"/>
              <w:bottom w:val="single" w:sz="4" w:space="0" w:color="auto"/>
              <w:right w:val="single" w:sz="4" w:space="0" w:color="auto"/>
            </w:tcBorders>
            <w:shd w:val="clear" w:color="auto" w:fill="auto"/>
            <w:noWrap/>
            <w:vAlign w:val="bottom"/>
            <w:hideMark/>
          </w:tcPr>
          <w:p w14:paraId="78E6466E" w14:textId="77777777" w:rsidR="00CB0C4B" w:rsidRPr="00CB0C4B" w:rsidRDefault="00CB0C4B" w:rsidP="00CB0C4B">
            <w:pPr>
              <w:spacing w:after="0"/>
              <w:ind w:left="0" w:firstLine="0"/>
              <w:jc w:val="center"/>
              <w:rPr>
                <w:rFonts w:ascii="Arial" w:eastAsia="Times New Roman" w:hAnsi="Arial" w:cs="Arial"/>
                <w:sz w:val="20"/>
                <w:szCs w:val="20"/>
              </w:rPr>
            </w:pPr>
            <w:r w:rsidRPr="00CB0C4B">
              <w:rPr>
                <w:rFonts w:ascii="Arial" w:eastAsia="Times New Roman" w:hAnsi="Arial" w:cs="Arial"/>
                <w:sz w:val="20"/>
                <w:szCs w:val="20"/>
              </w:rPr>
              <w:t>1980</w:t>
            </w:r>
          </w:p>
        </w:tc>
        <w:tc>
          <w:tcPr>
            <w:tcW w:w="1350" w:type="dxa"/>
            <w:tcBorders>
              <w:top w:val="nil"/>
              <w:left w:val="nil"/>
              <w:bottom w:val="single" w:sz="4" w:space="0" w:color="auto"/>
              <w:right w:val="single" w:sz="4" w:space="0" w:color="auto"/>
            </w:tcBorders>
            <w:shd w:val="clear" w:color="auto" w:fill="auto"/>
            <w:noWrap/>
            <w:vAlign w:val="bottom"/>
            <w:hideMark/>
          </w:tcPr>
          <w:p w14:paraId="78E6466F" w14:textId="77777777" w:rsidR="00CB0C4B" w:rsidRPr="00CB0C4B" w:rsidRDefault="00CB0C4B" w:rsidP="00CB0C4B">
            <w:pPr>
              <w:spacing w:after="0"/>
              <w:ind w:left="0" w:firstLine="0"/>
              <w:jc w:val="center"/>
              <w:rPr>
                <w:rFonts w:ascii="Arial" w:eastAsia="Times New Roman" w:hAnsi="Arial" w:cs="Arial"/>
                <w:sz w:val="20"/>
                <w:szCs w:val="20"/>
              </w:rPr>
            </w:pPr>
            <w:r w:rsidRPr="00CB0C4B">
              <w:rPr>
                <w:rFonts w:ascii="Arial" w:eastAsia="Times New Roman" w:hAnsi="Arial" w:cs="Arial"/>
                <w:sz w:val="20"/>
                <w:szCs w:val="20"/>
              </w:rPr>
              <w:t>0.31</w:t>
            </w:r>
          </w:p>
        </w:tc>
        <w:tc>
          <w:tcPr>
            <w:tcW w:w="918" w:type="dxa"/>
            <w:tcBorders>
              <w:top w:val="nil"/>
              <w:left w:val="nil"/>
              <w:bottom w:val="single" w:sz="4" w:space="0" w:color="auto"/>
              <w:right w:val="single" w:sz="4" w:space="0" w:color="auto"/>
            </w:tcBorders>
            <w:shd w:val="clear" w:color="auto" w:fill="auto"/>
            <w:noWrap/>
            <w:vAlign w:val="bottom"/>
            <w:hideMark/>
          </w:tcPr>
          <w:p w14:paraId="78E64670" w14:textId="77777777" w:rsidR="00CB0C4B" w:rsidRPr="00CB0C4B" w:rsidRDefault="00CB0C4B" w:rsidP="00CB0C4B">
            <w:pPr>
              <w:spacing w:after="0"/>
              <w:ind w:left="0" w:firstLine="0"/>
              <w:jc w:val="center"/>
              <w:rPr>
                <w:rFonts w:ascii="Arial" w:eastAsia="Times New Roman" w:hAnsi="Arial" w:cs="Arial"/>
                <w:sz w:val="20"/>
                <w:szCs w:val="20"/>
              </w:rPr>
            </w:pPr>
            <w:r w:rsidRPr="00CB0C4B">
              <w:rPr>
                <w:rFonts w:ascii="Arial" w:eastAsia="Times New Roman" w:hAnsi="Arial" w:cs="Arial"/>
                <w:sz w:val="20"/>
                <w:szCs w:val="20"/>
              </w:rPr>
              <w:t> </w:t>
            </w:r>
          </w:p>
        </w:tc>
      </w:tr>
      <w:tr w:rsidR="00CB0C4B" w:rsidRPr="00CB0C4B" w14:paraId="78E6467A" w14:textId="77777777" w:rsidTr="00CB0C4B">
        <w:trPr>
          <w:trHeight w:val="255"/>
        </w:trPr>
        <w:tc>
          <w:tcPr>
            <w:tcW w:w="1350" w:type="dxa"/>
            <w:tcBorders>
              <w:top w:val="nil"/>
              <w:left w:val="single" w:sz="4" w:space="0" w:color="auto"/>
              <w:bottom w:val="single" w:sz="4" w:space="0" w:color="auto"/>
              <w:right w:val="single" w:sz="4" w:space="0" w:color="auto"/>
            </w:tcBorders>
            <w:shd w:val="clear" w:color="auto" w:fill="auto"/>
            <w:noWrap/>
            <w:vAlign w:val="bottom"/>
            <w:hideMark/>
          </w:tcPr>
          <w:p w14:paraId="78E64672" w14:textId="77777777" w:rsidR="00CB0C4B" w:rsidRPr="00CB0C4B" w:rsidRDefault="00CB0C4B" w:rsidP="00CB0C4B">
            <w:pPr>
              <w:spacing w:after="0"/>
              <w:ind w:left="0" w:firstLine="0"/>
              <w:jc w:val="center"/>
              <w:rPr>
                <w:rFonts w:ascii="Arial" w:eastAsia="Times New Roman" w:hAnsi="Arial" w:cs="Arial"/>
                <w:sz w:val="20"/>
                <w:szCs w:val="20"/>
              </w:rPr>
            </w:pPr>
            <w:r w:rsidRPr="00CB0C4B">
              <w:rPr>
                <w:rFonts w:ascii="Arial" w:eastAsia="Times New Roman" w:hAnsi="Arial" w:cs="Arial"/>
                <w:sz w:val="20"/>
                <w:szCs w:val="20"/>
              </w:rPr>
              <w:t>05W02000</w:t>
            </w:r>
          </w:p>
        </w:tc>
        <w:tc>
          <w:tcPr>
            <w:tcW w:w="990" w:type="dxa"/>
            <w:tcBorders>
              <w:top w:val="nil"/>
              <w:left w:val="nil"/>
              <w:bottom w:val="single" w:sz="4" w:space="0" w:color="auto"/>
              <w:right w:val="single" w:sz="4" w:space="0" w:color="auto"/>
            </w:tcBorders>
            <w:shd w:val="clear" w:color="auto" w:fill="auto"/>
            <w:noWrap/>
            <w:vAlign w:val="bottom"/>
            <w:hideMark/>
          </w:tcPr>
          <w:p w14:paraId="78E64673" w14:textId="77777777" w:rsidR="00CB0C4B" w:rsidRPr="00CB0C4B" w:rsidRDefault="00CB0C4B" w:rsidP="00CB0C4B">
            <w:pPr>
              <w:spacing w:after="0"/>
              <w:ind w:left="0" w:firstLine="0"/>
              <w:jc w:val="center"/>
              <w:rPr>
                <w:rFonts w:ascii="Arial" w:eastAsia="Times New Roman" w:hAnsi="Arial" w:cs="Arial"/>
                <w:sz w:val="20"/>
                <w:szCs w:val="20"/>
              </w:rPr>
            </w:pPr>
            <w:r w:rsidRPr="00CB0C4B">
              <w:rPr>
                <w:rFonts w:ascii="Arial" w:eastAsia="Times New Roman" w:hAnsi="Arial" w:cs="Arial"/>
                <w:sz w:val="20"/>
                <w:szCs w:val="20"/>
              </w:rPr>
              <w:t>78</w:t>
            </w:r>
          </w:p>
        </w:tc>
        <w:tc>
          <w:tcPr>
            <w:tcW w:w="1170" w:type="dxa"/>
            <w:tcBorders>
              <w:top w:val="nil"/>
              <w:left w:val="nil"/>
              <w:bottom w:val="single" w:sz="4" w:space="0" w:color="auto"/>
              <w:right w:val="single" w:sz="4" w:space="0" w:color="auto"/>
            </w:tcBorders>
            <w:shd w:val="clear" w:color="auto" w:fill="auto"/>
            <w:noWrap/>
            <w:vAlign w:val="bottom"/>
            <w:hideMark/>
          </w:tcPr>
          <w:p w14:paraId="78E64674" w14:textId="77777777" w:rsidR="00CB0C4B" w:rsidRPr="00CB0C4B" w:rsidRDefault="00CB0C4B" w:rsidP="00CB0C4B">
            <w:pPr>
              <w:spacing w:after="0"/>
              <w:ind w:left="0" w:firstLine="0"/>
              <w:jc w:val="center"/>
              <w:rPr>
                <w:rFonts w:ascii="Arial" w:eastAsia="Times New Roman" w:hAnsi="Arial" w:cs="Arial"/>
                <w:sz w:val="20"/>
                <w:szCs w:val="20"/>
              </w:rPr>
            </w:pPr>
            <w:r w:rsidRPr="00CB0C4B">
              <w:rPr>
                <w:rFonts w:ascii="Arial" w:eastAsia="Times New Roman" w:hAnsi="Arial" w:cs="Arial"/>
                <w:sz w:val="20"/>
                <w:szCs w:val="20"/>
              </w:rPr>
              <w:t>1971.96</w:t>
            </w:r>
          </w:p>
        </w:tc>
        <w:tc>
          <w:tcPr>
            <w:tcW w:w="1080" w:type="dxa"/>
            <w:tcBorders>
              <w:top w:val="nil"/>
              <w:left w:val="nil"/>
              <w:bottom w:val="single" w:sz="4" w:space="0" w:color="auto"/>
              <w:right w:val="single" w:sz="4" w:space="0" w:color="auto"/>
            </w:tcBorders>
            <w:shd w:val="clear" w:color="auto" w:fill="auto"/>
            <w:noWrap/>
            <w:vAlign w:val="bottom"/>
            <w:hideMark/>
          </w:tcPr>
          <w:p w14:paraId="78E64675" w14:textId="77777777" w:rsidR="00CB0C4B" w:rsidRPr="00CB0C4B" w:rsidRDefault="00CB0C4B" w:rsidP="00CB0C4B">
            <w:pPr>
              <w:spacing w:after="0"/>
              <w:ind w:left="0" w:firstLine="0"/>
              <w:jc w:val="center"/>
              <w:rPr>
                <w:rFonts w:ascii="Arial" w:eastAsia="Times New Roman" w:hAnsi="Arial" w:cs="Arial"/>
                <w:sz w:val="20"/>
                <w:szCs w:val="20"/>
              </w:rPr>
            </w:pPr>
            <w:r w:rsidRPr="00CB0C4B">
              <w:rPr>
                <w:rFonts w:ascii="Arial" w:eastAsia="Times New Roman" w:hAnsi="Arial" w:cs="Arial"/>
                <w:sz w:val="20"/>
                <w:szCs w:val="20"/>
              </w:rPr>
              <w:t>1972</w:t>
            </w:r>
          </w:p>
        </w:tc>
        <w:tc>
          <w:tcPr>
            <w:tcW w:w="1350" w:type="dxa"/>
            <w:tcBorders>
              <w:top w:val="nil"/>
              <w:left w:val="nil"/>
              <w:bottom w:val="single" w:sz="4" w:space="0" w:color="auto"/>
              <w:right w:val="single" w:sz="4" w:space="0" w:color="auto"/>
            </w:tcBorders>
            <w:shd w:val="clear" w:color="auto" w:fill="auto"/>
            <w:noWrap/>
            <w:vAlign w:val="bottom"/>
            <w:hideMark/>
          </w:tcPr>
          <w:p w14:paraId="78E64676" w14:textId="77777777" w:rsidR="00CB0C4B" w:rsidRPr="00CB0C4B" w:rsidRDefault="00CB0C4B" w:rsidP="00CB0C4B">
            <w:pPr>
              <w:spacing w:after="0"/>
              <w:ind w:left="0" w:firstLine="0"/>
              <w:jc w:val="center"/>
              <w:rPr>
                <w:rFonts w:ascii="Arial" w:eastAsia="Times New Roman" w:hAnsi="Arial" w:cs="Arial"/>
                <w:sz w:val="20"/>
                <w:szCs w:val="20"/>
              </w:rPr>
            </w:pPr>
            <w:r w:rsidRPr="00CB0C4B">
              <w:rPr>
                <w:rFonts w:ascii="Arial" w:eastAsia="Times New Roman" w:hAnsi="Arial" w:cs="Arial"/>
                <w:sz w:val="20"/>
                <w:szCs w:val="20"/>
              </w:rPr>
              <w:t>1969</w:t>
            </w:r>
          </w:p>
        </w:tc>
        <w:tc>
          <w:tcPr>
            <w:tcW w:w="1170" w:type="dxa"/>
            <w:tcBorders>
              <w:top w:val="nil"/>
              <w:left w:val="nil"/>
              <w:bottom w:val="single" w:sz="4" w:space="0" w:color="auto"/>
              <w:right w:val="single" w:sz="4" w:space="0" w:color="auto"/>
            </w:tcBorders>
            <w:shd w:val="clear" w:color="auto" w:fill="auto"/>
            <w:noWrap/>
            <w:vAlign w:val="bottom"/>
            <w:hideMark/>
          </w:tcPr>
          <w:p w14:paraId="78E64677" w14:textId="77777777" w:rsidR="00CB0C4B" w:rsidRPr="00CB0C4B" w:rsidRDefault="00CB0C4B" w:rsidP="00CB0C4B">
            <w:pPr>
              <w:spacing w:after="0"/>
              <w:ind w:left="0" w:firstLine="0"/>
              <w:jc w:val="center"/>
              <w:rPr>
                <w:rFonts w:ascii="Arial" w:eastAsia="Times New Roman" w:hAnsi="Arial" w:cs="Arial"/>
                <w:sz w:val="20"/>
                <w:szCs w:val="20"/>
              </w:rPr>
            </w:pPr>
            <w:r w:rsidRPr="00CB0C4B">
              <w:rPr>
                <w:rFonts w:ascii="Arial" w:eastAsia="Times New Roman" w:hAnsi="Arial" w:cs="Arial"/>
                <w:sz w:val="20"/>
                <w:szCs w:val="20"/>
              </w:rPr>
              <w:t>1972</w:t>
            </w:r>
          </w:p>
        </w:tc>
        <w:tc>
          <w:tcPr>
            <w:tcW w:w="1350" w:type="dxa"/>
            <w:tcBorders>
              <w:top w:val="nil"/>
              <w:left w:val="nil"/>
              <w:bottom w:val="single" w:sz="4" w:space="0" w:color="auto"/>
              <w:right w:val="single" w:sz="4" w:space="0" w:color="auto"/>
            </w:tcBorders>
            <w:shd w:val="clear" w:color="auto" w:fill="auto"/>
            <w:noWrap/>
            <w:vAlign w:val="bottom"/>
            <w:hideMark/>
          </w:tcPr>
          <w:p w14:paraId="78E64678" w14:textId="77777777" w:rsidR="00CB0C4B" w:rsidRPr="00CB0C4B" w:rsidRDefault="00CB0C4B" w:rsidP="00CB0C4B">
            <w:pPr>
              <w:spacing w:after="0"/>
              <w:ind w:left="0" w:firstLine="0"/>
              <w:jc w:val="center"/>
              <w:rPr>
                <w:rFonts w:ascii="Arial" w:eastAsia="Times New Roman" w:hAnsi="Arial" w:cs="Arial"/>
                <w:sz w:val="20"/>
                <w:szCs w:val="20"/>
              </w:rPr>
            </w:pPr>
            <w:r w:rsidRPr="00CB0C4B">
              <w:rPr>
                <w:rFonts w:ascii="Arial" w:eastAsia="Times New Roman" w:hAnsi="Arial" w:cs="Arial"/>
                <w:sz w:val="20"/>
                <w:szCs w:val="20"/>
              </w:rPr>
              <w:t>0.34</w:t>
            </w:r>
          </w:p>
        </w:tc>
        <w:tc>
          <w:tcPr>
            <w:tcW w:w="918" w:type="dxa"/>
            <w:tcBorders>
              <w:top w:val="nil"/>
              <w:left w:val="nil"/>
              <w:bottom w:val="single" w:sz="4" w:space="0" w:color="auto"/>
              <w:right w:val="single" w:sz="4" w:space="0" w:color="auto"/>
            </w:tcBorders>
            <w:shd w:val="clear" w:color="auto" w:fill="auto"/>
            <w:noWrap/>
            <w:vAlign w:val="bottom"/>
            <w:hideMark/>
          </w:tcPr>
          <w:p w14:paraId="78E64679" w14:textId="77777777" w:rsidR="00CB0C4B" w:rsidRPr="00CB0C4B" w:rsidRDefault="00CB0C4B" w:rsidP="00CB0C4B">
            <w:pPr>
              <w:spacing w:after="0"/>
              <w:ind w:left="0" w:firstLine="0"/>
              <w:jc w:val="center"/>
              <w:rPr>
                <w:rFonts w:ascii="Arial" w:eastAsia="Times New Roman" w:hAnsi="Arial" w:cs="Arial"/>
                <w:sz w:val="20"/>
                <w:szCs w:val="20"/>
              </w:rPr>
            </w:pPr>
            <w:r w:rsidRPr="00CB0C4B">
              <w:rPr>
                <w:rFonts w:ascii="Arial" w:eastAsia="Times New Roman" w:hAnsi="Arial" w:cs="Arial"/>
                <w:sz w:val="20"/>
                <w:szCs w:val="20"/>
              </w:rPr>
              <w:t> </w:t>
            </w:r>
          </w:p>
        </w:tc>
      </w:tr>
      <w:tr w:rsidR="00CB0C4B" w:rsidRPr="00CB0C4B" w14:paraId="78E64683" w14:textId="77777777" w:rsidTr="00CB0C4B">
        <w:trPr>
          <w:trHeight w:val="255"/>
        </w:trPr>
        <w:tc>
          <w:tcPr>
            <w:tcW w:w="1350" w:type="dxa"/>
            <w:tcBorders>
              <w:top w:val="nil"/>
              <w:left w:val="single" w:sz="4" w:space="0" w:color="auto"/>
              <w:bottom w:val="single" w:sz="4" w:space="0" w:color="auto"/>
              <w:right w:val="single" w:sz="4" w:space="0" w:color="auto"/>
            </w:tcBorders>
            <w:shd w:val="clear" w:color="auto" w:fill="auto"/>
            <w:noWrap/>
            <w:vAlign w:val="bottom"/>
            <w:hideMark/>
          </w:tcPr>
          <w:p w14:paraId="78E6467B" w14:textId="77777777" w:rsidR="00CB0C4B" w:rsidRPr="00CB0C4B" w:rsidRDefault="00CB0C4B" w:rsidP="00CB0C4B">
            <w:pPr>
              <w:spacing w:after="0"/>
              <w:ind w:left="0" w:firstLine="0"/>
              <w:jc w:val="center"/>
              <w:rPr>
                <w:rFonts w:ascii="Arial" w:eastAsia="Times New Roman" w:hAnsi="Arial" w:cs="Arial"/>
                <w:sz w:val="20"/>
                <w:szCs w:val="20"/>
              </w:rPr>
            </w:pPr>
            <w:r w:rsidRPr="00CB0C4B">
              <w:rPr>
                <w:rFonts w:ascii="Arial" w:eastAsia="Times New Roman" w:hAnsi="Arial" w:cs="Arial"/>
                <w:sz w:val="20"/>
                <w:szCs w:val="20"/>
              </w:rPr>
              <w:t>02R13000</w:t>
            </w:r>
          </w:p>
        </w:tc>
        <w:tc>
          <w:tcPr>
            <w:tcW w:w="990" w:type="dxa"/>
            <w:tcBorders>
              <w:top w:val="nil"/>
              <w:left w:val="nil"/>
              <w:bottom w:val="single" w:sz="4" w:space="0" w:color="auto"/>
              <w:right w:val="single" w:sz="4" w:space="0" w:color="auto"/>
            </w:tcBorders>
            <w:shd w:val="clear" w:color="auto" w:fill="auto"/>
            <w:noWrap/>
            <w:vAlign w:val="bottom"/>
            <w:hideMark/>
          </w:tcPr>
          <w:p w14:paraId="78E6467C" w14:textId="77777777" w:rsidR="00CB0C4B" w:rsidRPr="00CB0C4B" w:rsidRDefault="00CB0C4B" w:rsidP="00CB0C4B">
            <w:pPr>
              <w:spacing w:after="0"/>
              <w:ind w:left="0" w:firstLine="0"/>
              <w:jc w:val="center"/>
              <w:rPr>
                <w:rFonts w:ascii="Arial" w:eastAsia="Times New Roman" w:hAnsi="Arial" w:cs="Arial"/>
                <w:sz w:val="20"/>
                <w:szCs w:val="20"/>
              </w:rPr>
            </w:pPr>
            <w:r w:rsidRPr="00CB0C4B">
              <w:rPr>
                <w:rFonts w:ascii="Arial" w:eastAsia="Times New Roman" w:hAnsi="Arial" w:cs="Arial"/>
                <w:sz w:val="20"/>
                <w:szCs w:val="20"/>
              </w:rPr>
              <w:t>29</w:t>
            </w:r>
          </w:p>
        </w:tc>
        <w:tc>
          <w:tcPr>
            <w:tcW w:w="1170" w:type="dxa"/>
            <w:tcBorders>
              <w:top w:val="nil"/>
              <w:left w:val="nil"/>
              <w:bottom w:val="single" w:sz="4" w:space="0" w:color="auto"/>
              <w:right w:val="single" w:sz="4" w:space="0" w:color="auto"/>
            </w:tcBorders>
            <w:shd w:val="clear" w:color="auto" w:fill="auto"/>
            <w:noWrap/>
            <w:vAlign w:val="bottom"/>
            <w:hideMark/>
          </w:tcPr>
          <w:p w14:paraId="78E6467D" w14:textId="77777777" w:rsidR="00CB0C4B" w:rsidRPr="00CB0C4B" w:rsidRDefault="00CB0C4B" w:rsidP="00CB0C4B">
            <w:pPr>
              <w:spacing w:after="0"/>
              <w:ind w:left="0" w:firstLine="0"/>
              <w:jc w:val="center"/>
              <w:rPr>
                <w:rFonts w:ascii="Arial" w:eastAsia="Times New Roman" w:hAnsi="Arial" w:cs="Arial"/>
                <w:sz w:val="20"/>
                <w:szCs w:val="20"/>
              </w:rPr>
            </w:pPr>
            <w:r w:rsidRPr="00CB0C4B">
              <w:rPr>
                <w:rFonts w:ascii="Arial" w:eastAsia="Times New Roman" w:hAnsi="Arial" w:cs="Arial"/>
                <w:sz w:val="20"/>
                <w:szCs w:val="20"/>
              </w:rPr>
              <w:t>1978.93</w:t>
            </w:r>
          </w:p>
        </w:tc>
        <w:tc>
          <w:tcPr>
            <w:tcW w:w="1080" w:type="dxa"/>
            <w:tcBorders>
              <w:top w:val="nil"/>
              <w:left w:val="nil"/>
              <w:bottom w:val="single" w:sz="4" w:space="0" w:color="auto"/>
              <w:right w:val="single" w:sz="4" w:space="0" w:color="auto"/>
            </w:tcBorders>
            <w:shd w:val="clear" w:color="auto" w:fill="auto"/>
            <w:noWrap/>
            <w:vAlign w:val="bottom"/>
            <w:hideMark/>
          </w:tcPr>
          <w:p w14:paraId="78E6467E" w14:textId="77777777" w:rsidR="00CB0C4B" w:rsidRPr="00CB0C4B" w:rsidRDefault="00CB0C4B" w:rsidP="00CB0C4B">
            <w:pPr>
              <w:spacing w:after="0"/>
              <w:ind w:left="0" w:firstLine="0"/>
              <w:jc w:val="center"/>
              <w:rPr>
                <w:rFonts w:ascii="Arial" w:eastAsia="Times New Roman" w:hAnsi="Arial" w:cs="Arial"/>
                <w:sz w:val="20"/>
                <w:szCs w:val="20"/>
              </w:rPr>
            </w:pPr>
            <w:r w:rsidRPr="00CB0C4B">
              <w:rPr>
                <w:rFonts w:ascii="Arial" w:eastAsia="Times New Roman" w:hAnsi="Arial" w:cs="Arial"/>
                <w:sz w:val="20"/>
                <w:szCs w:val="20"/>
              </w:rPr>
              <w:t>1979</w:t>
            </w:r>
          </w:p>
        </w:tc>
        <w:tc>
          <w:tcPr>
            <w:tcW w:w="1350" w:type="dxa"/>
            <w:tcBorders>
              <w:top w:val="nil"/>
              <w:left w:val="nil"/>
              <w:bottom w:val="single" w:sz="4" w:space="0" w:color="auto"/>
              <w:right w:val="single" w:sz="4" w:space="0" w:color="auto"/>
            </w:tcBorders>
            <w:shd w:val="clear" w:color="auto" w:fill="auto"/>
            <w:noWrap/>
            <w:vAlign w:val="bottom"/>
            <w:hideMark/>
          </w:tcPr>
          <w:p w14:paraId="78E6467F" w14:textId="77777777" w:rsidR="00CB0C4B" w:rsidRPr="00CB0C4B" w:rsidRDefault="00CB0C4B" w:rsidP="00CB0C4B">
            <w:pPr>
              <w:spacing w:after="0"/>
              <w:ind w:left="0" w:firstLine="0"/>
              <w:jc w:val="center"/>
              <w:rPr>
                <w:rFonts w:ascii="Arial" w:eastAsia="Times New Roman" w:hAnsi="Arial" w:cs="Arial"/>
                <w:sz w:val="20"/>
                <w:szCs w:val="20"/>
              </w:rPr>
            </w:pPr>
            <w:r w:rsidRPr="00CB0C4B">
              <w:rPr>
                <w:rFonts w:ascii="Arial" w:eastAsia="Times New Roman" w:hAnsi="Arial" w:cs="Arial"/>
                <w:sz w:val="20"/>
                <w:szCs w:val="20"/>
              </w:rPr>
              <w:t>1977</w:t>
            </w:r>
          </w:p>
        </w:tc>
        <w:tc>
          <w:tcPr>
            <w:tcW w:w="1170" w:type="dxa"/>
            <w:tcBorders>
              <w:top w:val="nil"/>
              <w:left w:val="nil"/>
              <w:bottom w:val="single" w:sz="4" w:space="0" w:color="auto"/>
              <w:right w:val="single" w:sz="4" w:space="0" w:color="auto"/>
            </w:tcBorders>
            <w:shd w:val="clear" w:color="auto" w:fill="auto"/>
            <w:noWrap/>
            <w:vAlign w:val="bottom"/>
            <w:hideMark/>
          </w:tcPr>
          <w:p w14:paraId="78E64680" w14:textId="77777777" w:rsidR="00CB0C4B" w:rsidRPr="00CB0C4B" w:rsidRDefault="00CB0C4B" w:rsidP="00CB0C4B">
            <w:pPr>
              <w:spacing w:after="0"/>
              <w:ind w:left="0" w:firstLine="0"/>
              <w:jc w:val="center"/>
              <w:rPr>
                <w:rFonts w:ascii="Arial" w:eastAsia="Times New Roman" w:hAnsi="Arial" w:cs="Arial"/>
                <w:sz w:val="20"/>
                <w:szCs w:val="20"/>
              </w:rPr>
            </w:pPr>
            <w:r w:rsidRPr="00CB0C4B">
              <w:rPr>
                <w:rFonts w:ascii="Arial" w:eastAsia="Times New Roman" w:hAnsi="Arial" w:cs="Arial"/>
                <w:sz w:val="20"/>
                <w:szCs w:val="20"/>
              </w:rPr>
              <w:t>1979</w:t>
            </w:r>
          </w:p>
        </w:tc>
        <w:tc>
          <w:tcPr>
            <w:tcW w:w="1350" w:type="dxa"/>
            <w:tcBorders>
              <w:top w:val="nil"/>
              <w:left w:val="nil"/>
              <w:bottom w:val="single" w:sz="4" w:space="0" w:color="auto"/>
              <w:right w:val="single" w:sz="4" w:space="0" w:color="auto"/>
            </w:tcBorders>
            <w:shd w:val="clear" w:color="auto" w:fill="auto"/>
            <w:noWrap/>
            <w:vAlign w:val="bottom"/>
            <w:hideMark/>
          </w:tcPr>
          <w:p w14:paraId="78E64681" w14:textId="77777777" w:rsidR="00CB0C4B" w:rsidRPr="00CB0C4B" w:rsidRDefault="00CB0C4B" w:rsidP="00CB0C4B">
            <w:pPr>
              <w:spacing w:after="0"/>
              <w:ind w:left="0" w:firstLine="0"/>
              <w:jc w:val="center"/>
              <w:rPr>
                <w:rFonts w:ascii="Arial" w:eastAsia="Times New Roman" w:hAnsi="Arial" w:cs="Arial"/>
                <w:sz w:val="20"/>
                <w:szCs w:val="20"/>
              </w:rPr>
            </w:pPr>
            <w:r w:rsidRPr="00CB0C4B">
              <w:rPr>
                <w:rFonts w:ascii="Arial" w:eastAsia="Times New Roman" w:hAnsi="Arial" w:cs="Arial"/>
                <w:sz w:val="20"/>
                <w:szCs w:val="20"/>
              </w:rPr>
              <w:t>0.37</w:t>
            </w:r>
          </w:p>
        </w:tc>
        <w:tc>
          <w:tcPr>
            <w:tcW w:w="918" w:type="dxa"/>
            <w:tcBorders>
              <w:top w:val="nil"/>
              <w:left w:val="nil"/>
              <w:bottom w:val="single" w:sz="4" w:space="0" w:color="auto"/>
              <w:right w:val="single" w:sz="4" w:space="0" w:color="auto"/>
            </w:tcBorders>
            <w:shd w:val="clear" w:color="auto" w:fill="auto"/>
            <w:noWrap/>
            <w:vAlign w:val="bottom"/>
            <w:hideMark/>
          </w:tcPr>
          <w:p w14:paraId="78E64682" w14:textId="77777777" w:rsidR="00CB0C4B" w:rsidRPr="00CB0C4B" w:rsidRDefault="00CB0C4B" w:rsidP="00CB0C4B">
            <w:pPr>
              <w:spacing w:after="0"/>
              <w:ind w:left="0" w:firstLine="0"/>
              <w:jc w:val="center"/>
              <w:rPr>
                <w:rFonts w:ascii="Arial" w:eastAsia="Times New Roman" w:hAnsi="Arial" w:cs="Arial"/>
                <w:sz w:val="20"/>
                <w:szCs w:val="20"/>
              </w:rPr>
            </w:pPr>
            <w:r w:rsidRPr="00CB0C4B">
              <w:rPr>
                <w:rFonts w:ascii="Arial" w:eastAsia="Times New Roman" w:hAnsi="Arial" w:cs="Arial"/>
                <w:sz w:val="20"/>
                <w:szCs w:val="20"/>
              </w:rPr>
              <w:t> </w:t>
            </w:r>
          </w:p>
        </w:tc>
      </w:tr>
      <w:tr w:rsidR="00CB0C4B" w:rsidRPr="00CB0C4B" w14:paraId="78E6468C" w14:textId="77777777" w:rsidTr="00CB0C4B">
        <w:trPr>
          <w:trHeight w:val="255"/>
        </w:trPr>
        <w:tc>
          <w:tcPr>
            <w:tcW w:w="1350" w:type="dxa"/>
            <w:tcBorders>
              <w:top w:val="nil"/>
              <w:left w:val="single" w:sz="4" w:space="0" w:color="auto"/>
              <w:bottom w:val="single" w:sz="4" w:space="0" w:color="auto"/>
              <w:right w:val="single" w:sz="4" w:space="0" w:color="auto"/>
            </w:tcBorders>
            <w:shd w:val="clear" w:color="auto" w:fill="auto"/>
            <w:noWrap/>
            <w:vAlign w:val="bottom"/>
            <w:hideMark/>
          </w:tcPr>
          <w:p w14:paraId="78E64684" w14:textId="77777777" w:rsidR="00CB0C4B" w:rsidRPr="00CB0C4B" w:rsidRDefault="00CB0C4B" w:rsidP="00CB0C4B">
            <w:pPr>
              <w:spacing w:after="0"/>
              <w:ind w:left="0" w:firstLine="0"/>
              <w:jc w:val="center"/>
              <w:rPr>
                <w:rFonts w:ascii="Arial" w:eastAsia="Times New Roman" w:hAnsi="Arial" w:cs="Arial"/>
                <w:sz w:val="20"/>
                <w:szCs w:val="20"/>
              </w:rPr>
            </w:pPr>
            <w:r w:rsidRPr="00CB0C4B">
              <w:rPr>
                <w:rFonts w:ascii="Arial" w:eastAsia="Times New Roman" w:hAnsi="Arial" w:cs="Arial"/>
                <w:sz w:val="20"/>
                <w:szCs w:val="20"/>
              </w:rPr>
              <w:t>03R11000</w:t>
            </w:r>
          </w:p>
        </w:tc>
        <w:tc>
          <w:tcPr>
            <w:tcW w:w="990" w:type="dxa"/>
            <w:tcBorders>
              <w:top w:val="nil"/>
              <w:left w:val="nil"/>
              <w:bottom w:val="single" w:sz="4" w:space="0" w:color="auto"/>
              <w:right w:val="single" w:sz="4" w:space="0" w:color="auto"/>
            </w:tcBorders>
            <w:shd w:val="clear" w:color="auto" w:fill="auto"/>
            <w:noWrap/>
            <w:vAlign w:val="bottom"/>
            <w:hideMark/>
          </w:tcPr>
          <w:p w14:paraId="78E64685" w14:textId="77777777" w:rsidR="00CB0C4B" w:rsidRPr="00CB0C4B" w:rsidRDefault="00CB0C4B" w:rsidP="00CB0C4B">
            <w:pPr>
              <w:spacing w:after="0"/>
              <w:ind w:left="0" w:firstLine="0"/>
              <w:jc w:val="center"/>
              <w:rPr>
                <w:rFonts w:ascii="Arial" w:eastAsia="Times New Roman" w:hAnsi="Arial" w:cs="Arial"/>
                <w:sz w:val="20"/>
                <w:szCs w:val="20"/>
              </w:rPr>
            </w:pPr>
            <w:r w:rsidRPr="00CB0C4B">
              <w:rPr>
                <w:rFonts w:ascii="Arial" w:eastAsia="Times New Roman" w:hAnsi="Arial" w:cs="Arial"/>
                <w:sz w:val="20"/>
                <w:szCs w:val="20"/>
              </w:rPr>
              <w:t>90</w:t>
            </w:r>
          </w:p>
        </w:tc>
        <w:tc>
          <w:tcPr>
            <w:tcW w:w="1170" w:type="dxa"/>
            <w:tcBorders>
              <w:top w:val="nil"/>
              <w:left w:val="nil"/>
              <w:bottom w:val="single" w:sz="4" w:space="0" w:color="auto"/>
              <w:right w:val="single" w:sz="4" w:space="0" w:color="auto"/>
            </w:tcBorders>
            <w:shd w:val="clear" w:color="auto" w:fill="auto"/>
            <w:noWrap/>
            <w:vAlign w:val="bottom"/>
            <w:hideMark/>
          </w:tcPr>
          <w:p w14:paraId="78E64686" w14:textId="77777777" w:rsidR="00CB0C4B" w:rsidRPr="00CB0C4B" w:rsidRDefault="00CB0C4B" w:rsidP="00CB0C4B">
            <w:pPr>
              <w:spacing w:after="0"/>
              <w:ind w:left="0" w:firstLine="0"/>
              <w:jc w:val="center"/>
              <w:rPr>
                <w:rFonts w:ascii="Arial" w:eastAsia="Times New Roman" w:hAnsi="Arial" w:cs="Arial"/>
                <w:sz w:val="20"/>
                <w:szCs w:val="20"/>
              </w:rPr>
            </w:pPr>
            <w:r w:rsidRPr="00CB0C4B">
              <w:rPr>
                <w:rFonts w:ascii="Arial" w:eastAsia="Times New Roman" w:hAnsi="Arial" w:cs="Arial"/>
                <w:sz w:val="20"/>
                <w:szCs w:val="20"/>
              </w:rPr>
              <w:t>1992.08</w:t>
            </w:r>
          </w:p>
        </w:tc>
        <w:tc>
          <w:tcPr>
            <w:tcW w:w="1080" w:type="dxa"/>
            <w:tcBorders>
              <w:top w:val="nil"/>
              <w:left w:val="nil"/>
              <w:bottom w:val="single" w:sz="4" w:space="0" w:color="auto"/>
              <w:right w:val="single" w:sz="4" w:space="0" w:color="auto"/>
            </w:tcBorders>
            <w:shd w:val="clear" w:color="auto" w:fill="auto"/>
            <w:noWrap/>
            <w:vAlign w:val="bottom"/>
            <w:hideMark/>
          </w:tcPr>
          <w:p w14:paraId="78E64687" w14:textId="77777777" w:rsidR="00CB0C4B" w:rsidRPr="00CB0C4B" w:rsidRDefault="00CB0C4B" w:rsidP="00CB0C4B">
            <w:pPr>
              <w:spacing w:after="0"/>
              <w:ind w:left="0" w:firstLine="0"/>
              <w:jc w:val="center"/>
              <w:rPr>
                <w:rFonts w:ascii="Arial" w:eastAsia="Times New Roman" w:hAnsi="Arial" w:cs="Arial"/>
                <w:sz w:val="20"/>
                <w:szCs w:val="20"/>
              </w:rPr>
            </w:pPr>
            <w:r w:rsidRPr="00CB0C4B">
              <w:rPr>
                <w:rFonts w:ascii="Arial" w:eastAsia="Times New Roman" w:hAnsi="Arial" w:cs="Arial"/>
                <w:sz w:val="20"/>
                <w:szCs w:val="20"/>
              </w:rPr>
              <w:t>1992</w:t>
            </w:r>
          </w:p>
        </w:tc>
        <w:tc>
          <w:tcPr>
            <w:tcW w:w="1350" w:type="dxa"/>
            <w:tcBorders>
              <w:top w:val="nil"/>
              <w:left w:val="nil"/>
              <w:bottom w:val="single" w:sz="4" w:space="0" w:color="auto"/>
              <w:right w:val="single" w:sz="4" w:space="0" w:color="auto"/>
            </w:tcBorders>
            <w:shd w:val="clear" w:color="auto" w:fill="auto"/>
            <w:noWrap/>
            <w:vAlign w:val="bottom"/>
            <w:hideMark/>
          </w:tcPr>
          <w:p w14:paraId="78E64688" w14:textId="77777777" w:rsidR="00CB0C4B" w:rsidRPr="00CB0C4B" w:rsidRDefault="00CB0C4B" w:rsidP="00CB0C4B">
            <w:pPr>
              <w:spacing w:after="0"/>
              <w:ind w:left="0" w:firstLine="0"/>
              <w:jc w:val="center"/>
              <w:rPr>
                <w:rFonts w:ascii="Arial" w:eastAsia="Times New Roman" w:hAnsi="Arial" w:cs="Arial"/>
                <w:sz w:val="20"/>
                <w:szCs w:val="20"/>
              </w:rPr>
            </w:pPr>
            <w:r w:rsidRPr="00CB0C4B">
              <w:rPr>
                <w:rFonts w:ascii="Arial" w:eastAsia="Times New Roman" w:hAnsi="Arial" w:cs="Arial"/>
                <w:sz w:val="20"/>
                <w:szCs w:val="20"/>
              </w:rPr>
              <w:t>1991</w:t>
            </w:r>
          </w:p>
        </w:tc>
        <w:tc>
          <w:tcPr>
            <w:tcW w:w="1170" w:type="dxa"/>
            <w:tcBorders>
              <w:top w:val="nil"/>
              <w:left w:val="nil"/>
              <w:bottom w:val="single" w:sz="4" w:space="0" w:color="auto"/>
              <w:right w:val="single" w:sz="4" w:space="0" w:color="auto"/>
            </w:tcBorders>
            <w:shd w:val="clear" w:color="auto" w:fill="auto"/>
            <w:noWrap/>
            <w:vAlign w:val="bottom"/>
            <w:hideMark/>
          </w:tcPr>
          <w:p w14:paraId="78E64689" w14:textId="77777777" w:rsidR="00CB0C4B" w:rsidRPr="00CB0C4B" w:rsidRDefault="00CB0C4B" w:rsidP="00CB0C4B">
            <w:pPr>
              <w:spacing w:after="0"/>
              <w:ind w:left="0" w:firstLine="0"/>
              <w:jc w:val="center"/>
              <w:rPr>
                <w:rFonts w:ascii="Arial" w:eastAsia="Times New Roman" w:hAnsi="Arial" w:cs="Arial"/>
                <w:sz w:val="20"/>
                <w:szCs w:val="20"/>
              </w:rPr>
            </w:pPr>
            <w:r w:rsidRPr="00CB0C4B">
              <w:rPr>
                <w:rFonts w:ascii="Arial" w:eastAsia="Times New Roman" w:hAnsi="Arial" w:cs="Arial"/>
                <w:sz w:val="20"/>
                <w:szCs w:val="20"/>
              </w:rPr>
              <w:t>1993</w:t>
            </w:r>
          </w:p>
        </w:tc>
        <w:tc>
          <w:tcPr>
            <w:tcW w:w="1350" w:type="dxa"/>
            <w:tcBorders>
              <w:top w:val="nil"/>
              <w:left w:val="nil"/>
              <w:bottom w:val="single" w:sz="4" w:space="0" w:color="auto"/>
              <w:right w:val="single" w:sz="4" w:space="0" w:color="auto"/>
            </w:tcBorders>
            <w:shd w:val="clear" w:color="auto" w:fill="auto"/>
            <w:noWrap/>
            <w:vAlign w:val="bottom"/>
            <w:hideMark/>
          </w:tcPr>
          <w:p w14:paraId="78E6468A" w14:textId="77777777" w:rsidR="00CB0C4B" w:rsidRPr="00CB0C4B" w:rsidRDefault="00CB0C4B" w:rsidP="00CB0C4B">
            <w:pPr>
              <w:spacing w:after="0"/>
              <w:ind w:left="0" w:firstLine="0"/>
              <w:jc w:val="center"/>
              <w:rPr>
                <w:rFonts w:ascii="Arial" w:eastAsia="Times New Roman" w:hAnsi="Arial" w:cs="Arial"/>
                <w:sz w:val="20"/>
                <w:szCs w:val="20"/>
              </w:rPr>
            </w:pPr>
            <w:r w:rsidRPr="00CB0C4B">
              <w:rPr>
                <w:rFonts w:ascii="Arial" w:eastAsia="Times New Roman" w:hAnsi="Arial" w:cs="Arial"/>
                <w:sz w:val="20"/>
                <w:szCs w:val="20"/>
              </w:rPr>
              <w:t>0.37</w:t>
            </w:r>
          </w:p>
        </w:tc>
        <w:tc>
          <w:tcPr>
            <w:tcW w:w="918" w:type="dxa"/>
            <w:tcBorders>
              <w:top w:val="nil"/>
              <w:left w:val="nil"/>
              <w:bottom w:val="single" w:sz="4" w:space="0" w:color="auto"/>
              <w:right w:val="single" w:sz="4" w:space="0" w:color="auto"/>
            </w:tcBorders>
            <w:shd w:val="clear" w:color="auto" w:fill="auto"/>
            <w:noWrap/>
            <w:vAlign w:val="bottom"/>
            <w:hideMark/>
          </w:tcPr>
          <w:p w14:paraId="78E6468B" w14:textId="77777777" w:rsidR="00CB0C4B" w:rsidRPr="00CB0C4B" w:rsidRDefault="00CB0C4B" w:rsidP="00CB0C4B">
            <w:pPr>
              <w:spacing w:after="0"/>
              <w:ind w:left="0" w:firstLine="0"/>
              <w:jc w:val="center"/>
              <w:rPr>
                <w:rFonts w:ascii="Arial" w:eastAsia="Times New Roman" w:hAnsi="Arial" w:cs="Arial"/>
                <w:sz w:val="20"/>
                <w:szCs w:val="20"/>
              </w:rPr>
            </w:pPr>
            <w:r w:rsidRPr="00CB0C4B">
              <w:rPr>
                <w:rFonts w:ascii="Arial" w:eastAsia="Times New Roman" w:hAnsi="Arial" w:cs="Arial"/>
                <w:sz w:val="20"/>
                <w:szCs w:val="20"/>
              </w:rPr>
              <w:t> </w:t>
            </w:r>
          </w:p>
        </w:tc>
      </w:tr>
      <w:tr w:rsidR="00CB0C4B" w:rsidRPr="00CB0C4B" w14:paraId="78E64695" w14:textId="77777777" w:rsidTr="00CB0C4B">
        <w:trPr>
          <w:trHeight w:val="255"/>
        </w:trPr>
        <w:tc>
          <w:tcPr>
            <w:tcW w:w="1350" w:type="dxa"/>
            <w:tcBorders>
              <w:top w:val="nil"/>
              <w:left w:val="single" w:sz="4" w:space="0" w:color="auto"/>
              <w:bottom w:val="single" w:sz="4" w:space="0" w:color="auto"/>
              <w:right w:val="single" w:sz="4" w:space="0" w:color="auto"/>
            </w:tcBorders>
            <w:shd w:val="clear" w:color="auto" w:fill="auto"/>
            <w:noWrap/>
            <w:vAlign w:val="bottom"/>
            <w:hideMark/>
          </w:tcPr>
          <w:p w14:paraId="78E6468D" w14:textId="77777777" w:rsidR="00CB0C4B" w:rsidRPr="00CB0C4B" w:rsidRDefault="00CB0C4B" w:rsidP="00CB0C4B">
            <w:pPr>
              <w:spacing w:after="0"/>
              <w:ind w:left="0" w:firstLine="0"/>
              <w:jc w:val="center"/>
              <w:rPr>
                <w:rFonts w:ascii="Arial" w:eastAsia="Times New Roman" w:hAnsi="Arial" w:cs="Arial"/>
                <w:sz w:val="20"/>
                <w:szCs w:val="20"/>
              </w:rPr>
            </w:pPr>
            <w:r w:rsidRPr="00CB0C4B">
              <w:rPr>
                <w:rFonts w:ascii="Arial" w:eastAsia="Times New Roman" w:hAnsi="Arial" w:cs="Arial"/>
                <w:sz w:val="20"/>
                <w:szCs w:val="20"/>
              </w:rPr>
              <w:t>01C06000</w:t>
            </w:r>
          </w:p>
        </w:tc>
        <w:tc>
          <w:tcPr>
            <w:tcW w:w="990" w:type="dxa"/>
            <w:tcBorders>
              <w:top w:val="nil"/>
              <w:left w:val="nil"/>
              <w:bottom w:val="single" w:sz="4" w:space="0" w:color="auto"/>
              <w:right w:val="single" w:sz="4" w:space="0" w:color="auto"/>
            </w:tcBorders>
            <w:shd w:val="clear" w:color="auto" w:fill="auto"/>
            <w:noWrap/>
            <w:vAlign w:val="bottom"/>
            <w:hideMark/>
          </w:tcPr>
          <w:p w14:paraId="78E6468E" w14:textId="77777777" w:rsidR="00CB0C4B" w:rsidRPr="00CB0C4B" w:rsidRDefault="00CB0C4B" w:rsidP="00CB0C4B">
            <w:pPr>
              <w:spacing w:after="0"/>
              <w:ind w:left="0" w:firstLine="0"/>
              <w:jc w:val="center"/>
              <w:rPr>
                <w:rFonts w:ascii="Arial" w:eastAsia="Times New Roman" w:hAnsi="Arial" w:cs="Arial"/>
                <w:sz w:val="20"/>
                <w:szCs w:val="20"/>
              </w:rPr>
            </w:pPr>
            <w:r w:rsidRPr="00CB0C4B">
              <w:rPr>
                <w:rFonts w:ascii="Arial" w:eastAsia="Times New Roman" w:hAnsi="Arial" w:cs="Arial"/>
                <w:sz w:val="20"/>
                <w:szCs w:val="20"/>
              </w:rPr>
              <w:t>7</w:t>
            </w:r>
          </w:p>
        </w:tc>
        <w:tc>
          <w:tcPr>
            <w:tcW w:w="1170" w:type="dxa"/>
            <w:tcBorders>
              <w:top w:val="nil"/>
              <w:left w:val="nil"/>
              <w:bottom w:val="single" w:sz="4" w:space="0" w:color="auto"/>
              <w:right w:val="single" w:sz="4" w:space="0" w:color="auto"/>
            </w:tcBorders>
            <w:shd w:val="clear" w:color="auto" w:fill="auto"/>
            <w:noWrap/>
            <w:vAlign w:val="bottom"/>
            <w:hideMark/>
          </w:tcPr>
          <w:p w14:paraId="78E6468F" w14:textId="77777777" w:rsidR="00CB0C4B" w:rsidRPr="00CB0C4B" w:rsidRDefault="00CB0C4B" w:rsidP="00CB0C4B">
            <w:pPr>
              <w:spacing w:after="0"/>
              <w:ind w:left="0" w:firstLine="0"/>
              <w:jc w:val="center"/>
              <w:rPr>
                <w:rFonts w:ascii="Arial" w:eastAsia="Times New Roman" w:hAnsi="Arial" w:cs="Arial"/>
                <w:sz w:val="20"/>
                <w:szCs w:val="20"/>
              </w:rPr>
            </w:pPr>
            <w:r w:rsidRPr="00CB0C4B">
              <w:rPr>
                <w:rFonts w:ascii="Arial" w:eastAsia="Times New Roman" w:hAnsi="Arial" w:cs="Arial"/>
                <w:sz w:val="20"/>
                <w:szCs w:val="20"/>
              </w:rPr>
              <w:t>2004.14</w:t>
            </w:r>
          </w:p>
        </w:tc>
        <w:tc>
          <w:tcPr>
            <w:tcW w:w="1080" w:type="dxa"/>
            <w:tcBorders>
              <w:top w:val="nil"/>
              <w:left w:val="nil"/>
              <w:bottom w:val="single" w:sz="4" w:space="0" w:color="auto"/>
              <w:right w:val="single" w:sz="4" w:space="0" w:color="auto"/>
            </w:tcBorders>
            <w:shd w:val="clear" w:color="auto" w:fill="auto"/>
            <w:noWrap/>
            <w:vAlign w:val="bottom"/>
            <w:hideMark/>
          </w:tcPr>
          <w:p w14:paraId="78E64690" w14:textId="77777777" w:rsidR="00CB0C4B" w:rsidRPr="00CB0C4B" w:rsidRDefault="00CB0C4B" w:rsidP="00CB0C4B">
            <w:pPr>
              <w:spacing w:after="0"/>
              <w:ind w:left="0" w:firstLine="0"/>
              <w:jc w:val="center"/>
              <w:rPr>
                <w:rFonts w:ascii="Arial" w:eastAsia="Times New Roman" w:hAnsi="Arial" w:cs="Arial"/>
                <w:sz w:val="20"/>
                <w:szCs w:val="20"/>
              </w:rPr>
            </w:pPr>
            <w:r w:rsidRPr="00CB0C4B">
              <w:rPr>
                <w:rFonts w:ascii="Arial" w:eastAsia="Times New Roman" w:hAnsi="Arial" w:cs="Arial"/>
                <w:sz w:val="20"/>
                <w:szCs w:val="20"/>
              </w:rPr>
              <w:t>2004</w:t>
            </w:r>
          </w:p>
        </w:tc>
        <w:tc>
          <w:tcPr>
            <w:tcW w:w="1350" w:type="dxa"/>
            <w:tcBorders>
              <w:top w:val="nil"/>
              <w:left w:val="nil"/>
              <w:bottom w:val="single" w:sz="4" w:space="0" w:color="auto"/>
              <w:right w:val="single" w:sz="4" w:space="0" w:color="auto"/>
            </w:tcBorders>
            <w:shd w:val="clear" w:color="auto" w:fill="auto"/>
            <w:noWrap/>
            <w:vAlign w:val="bottom"/>
            <w:hideMark/>
          </w:tcPr>
          <w:p w14:paraId="78E64691" w14:textId="77777777" w:rsidR="00CB0C4B" w:rsidRPr="00CB0C4B" w:rsidRDefault="00CB0C4B" w:rsidP="00CB0C4B">
            <w:pPr>
              <w:spacing w:after="0"/>
              <w:ind w:left="0" w:firstLine="0"/>
              <w:jc w:val="center"/>
              <w:rPr>
                <w:rFonts w:ascii="Arial" w:eastAsia="Times New Roman" w:hAnsi="Arial" w:cs="Arial"/>
                <w:sz w:val="20"/>
                <w:szCs w:val="20"/>
              </w:rPr>
            </w:pPr>
            <w:r w:rsidRPr="00CB0C4B">
              <w:rPr>
                <w:rFonts w:ascii="Arial" w:eastAsia="Times New Roman" w:hAnsi="Arial" w:cs="Arial"/>
                <w:sz w:val="20"/>
                <w:szCs w:val="20"/>
              </w:rPr>
              <w:t>2004</w:t>
            </w:r>
          </w:p>
        </w:tc>
        <w:tc>
          <w:tcPr>
            <w:tcW w:w="1170" w:type="dxa"/>
            <w:tcBorders>
              <w:top w:val="nil"/>
              <w:left w:val="nil"/>
              <w:bottom w:val="single" w:sz="4" w:space="0" w:color="auto"/>
              <w:right w:val="single" w:sz="4" w:space="0" w:color="auto"/>
            </w:tcBorders>
            <w:shd w:val="clear" w:color="auto" w:fill="auto"/>
            <w:noWrap/>
            <w:vAlign w:val="bottom"/>
            <w:hideMark/>
          </w:tcPr>
          <w:p w14:paraId="78E64692" w14:textId="77777777" w:rsidR="00CB0C4B" w:rsidRPr="00CB0C4B" w:rsidRDefault="00CB0C4B" w:rsidP="00CB0C4B">
            <w:pPr>
              <w:spacing w:after="0"/>
              <w:ind w:left="0" w:firstLine="0"/>
              <w:jc w:val="center"/>
              <w:rPr>
                <w:rFonts w:ascii="Arial" w:eastAsia="Times New Roman" w:hAnsi="Arial" w:cs="Arial"/>
                <w:sz w:val="20"/>
                <w:szCs w:val="20"/>
              </w:rPr>
            </w:pPr>
            <w:r w:rsidRPr="00CB0C4B">
              <w:rPr>
                <w:rFonts w:ascii="Arial" w:eastAsia="Times New Roman" w:hAnsi="Arial" w:cs="Arial"/>
                <w:sz w:val="20"/>
                <w:szCs w:val="20"/>
              </w:rPr>
              <w:t>2005</w:t>
            </w:r>
          </w:p>
        </w:tc>
        <w:tc>
          <w:tcPr>
            <w:tcW w:w="1350" w:type="dxa"/>
            <w:tcBorders>
              <w:top w:val="nil"/>
              <w:left w:val="nil"/>
              <w:bottom w:val="single" w:sz="4" w:space="0" w:color="auto"/>
              <w:right w:val="single" w:sz="4" w:space="0" w:color="auto"/>
            </w:tcBorders>
            <w:shd w:val="clear" w:color="auto" w:fill="auto"/>
            <w:noWrap/>
            <w:vAlign w:val="bottom"/>
            <w:hideMark/>
          </w:tcPr>
          <w:p w14:paraId="78E64693" w14:textId="77777777" w:rsidR="00CB0C4B" w:rsidRPr="00CB0C4B" w:rsidRDefault="00CB0C4B" w:rsidP="00CB0C4B">
            <w:pPr>
              <w:spacing w:after="0"/>
              <w:ind w:left="0" w:firstLine="0"/>
              <w:jc w:val="center"/>
              <w:rPr>
                <w:rFonts w:ascii="Arial" w:eastAsia="Times New Roman" w:hAnsi="Arial" w:cs="Arial"/>
                <w:sz w:val="20"/>
                <w:szCs w:val="20"/>
              </w:rPr>
            </w:pPr>
            <w:r w:rsidRPr="00CB0C4B">
              <w:rPr>
                <w:rFonts w:ascii="Arial" w:eastAsia="Times New Roman" w:hAnsi="Arial" w:cs="Arial"/>
                <w:sz w:val="20"/>
                <w:szCs w:val="20"/>
              </w:rPr>
              <w:t>0.38</w:t>
            </w:r>
          </w:p>
        </w:tc>
        <w:tc>
          <w:tcPr>
            <w:tcW w:w="918" w:type="dxa"/>
            <w:tcBorders>
              <w:top w:val="nil"/>
              <w:left w:val="nil"/>
              <w:bottom w:val="single" w:sz="4" w:space="0" w:color="auto"/>
              <w:right w:val="single" w:sz="4" w:space="0" w:color="auto"/>
            </w:tcBorders>
            <w:shd w:val="clear" w:color="auto" w:fill="auto"/>
            <w:noWrap/>
            <w:vAlign w:val="bottom"/>
            <w:hideMark/>
          </w:tcPr>
          <w:p w14:paraId="78E64694" w14:textId="77777777" w:rsidR="00CB0C4B" w:rsidRPr="00CB0C4B" w:rsidRDefault="00CB0C4B" w:rsidP="00CB0C4B">
            <w:pPr>
              <w:spacing w:after="0"/>
              <w:ind w:left="0" w:firstLine="0"/>
              <w:jc w:val="center"/>
              <w:rPr>
                <w:rFonts w:ascii="Arial" w:eastAsia="Times New Roman" w:hAnsi="Arial" w:cs="Arial"/>
                <w:sz w:val="20"/>
                <w:szCs w:val="20"/>
              </w:rPr>
            </w:pPr>
            <w:r w:rsidRPr="00CB0C4B">
              <w:rPr>
                <w:rFonts w:ascii="Arial" w:eastAsia="Times New Roman" w:hAnsi="Arial" w:cs="Arial"/>
                <w:sz w:val="20"/>
                <w:szCs w:val="20"/>
              </w:rPr>
              <w:t> </w:t>
            </w:r>
          </w:p>
        </w:tc>
      </w:tr>
      <w:tr w:rsidR="00CB0C4B" w:rsidRPr="00CB0C4B" w14:paraId="78E6469E" w14:textId="77777777" w:rsidTr="00CB0C4B">
        <w:trPr>
          <w:trHeight w:val="255"/>
        </w:trPr>
        <w:tc>
          <w:tcPr>
            <w:tcW w:w="1350" w:type="dxa"/>
            <w:tcBorders>
              <w:top w:val="nil"/>
              <w:left w:val="single" w:sz="4" w:space="0" w:color="auto"/>
              <w:bottom w:val="single" w:sz="4" w:space="0" w:color="auto"/>
              <w:right w:val="single" w:sz="4" w:space="0" w:color="auto"/>
            </w:tcBorders>
            <w:shd w:val="clear" w:color="auto" w:fill="auto"/>
            <w:noWrap/>
            <w:vAlign w:val="bottom"/>
            <w:hideMark/>
          </w:tcPr>
          <w:p w14:paraId="78E64696" w14:textId="77777777" w:rsidR="00CB0C4B" w:rsidRPr="00CB0C4B" w:rsidRDefault="00CB0C4B" w:rsidP="00CB0C4B">
            <w:pPr>
              <w:spacing w:after="0"/>
              <w:ind w:left="0" w:firstLine="0"/>
              <w:jc w:val="center"/>
              <w:rPr>
                <w:rFonts w:ascii="Arial" w:eastAsia="Times New Roman" w:hAnsi="Arial" w:cs="Arial"/>
                <w:sz w:val="20"/>
                <w:szCs w:val="20"/>
              </w:rPr>
            </w:pPr>
            <w:r w:rsidRPr="00CB0C4B">
              <w:rPr>
                <w:rFonts w:ascii="Arial" w:eastAsia="Times New Roman" w:hAnsi="Arial" w:cs="Arial"/>
                <w:sz w:val="20"/>
                <w:szCs w:val="20"/>
              </w:rPr>
              <w:t>07R07000</w:t>
            </w:r>
          </w:p>
        </w:tc>
        <w:tc>
          <w:tcPr>
            <w:tcW w:w="990" w:type="dxa"/>
            <w:tcBorders>
              <w:top w:val="nil"/>
              <w:left w:val="nil"/>
              <w:bottom w:val="single" w:sz="4" w:space="0" w:color="auto"/>
              <w:right w:val="single" w:sz="4" w:space="0" w:color="auto"/>
            </w:tcBorders>
            <w:shd w:val="clear" w:color="auto" w:fill="auto"/>
            <w:noWrap/>
            <w:vAlign w:val="bottom"/>
            <w:hideMark/>
          </w:tcPr>
          <w:p w14:paraId="78E64697" w14:textId="77777777" w:rsidR="00CB0C4B" w:rsidRPr="00CB0C4B" w:rsidRDefault="00CB0C4B" w:rsidP="00CB0C4B">
            <w:pPr>
              <w:spacing w:after="0"/>
              <w:ind w:left="0" w:firstLine="0"/>
              <w:jc w:val="center"/>
              <w:rPr>
                <w:rFonts w:ascii="Arial" w:eastAsia="Times New Roman" w:hAnsi="Arial" w:cs="Arial"/>
                <w:sz w:val="20"/>
                <w:szCs w:val="20"/>
              </w:rPr>
            </w:pPr>
            <w:r w:rsidRPr="00CB0C4B">
              <w:rPr>
                <w:rFonts w:ascii="Arial" w:eastAsia="Times New Roman" w:hAnsi="Arial" w:cs="Arial"/>
                <w:sz w:val="20"/>
                <w:szCs w:val="20"/>
              </w:rPr>
              <w:t>16</w:t>
            </w:r>
          </w:p>
        </w:tc>
        <w:tc>
          <w:tcPr>
            <w:tcW w:w="1170" w:type="dxa"/>
            <w:tcBorders>
              <w:top w:val="nil"/>
              <w:left w:val="nil"/>
              <w:bottom w:val="single" w:sz="4" w:space="0" w:color="auto"/>
              <w:right w:val="single" w:sz="4" w:space="0" w:color="auto"/>
            </w:tcBorders>
            <w:shd w:val="clear" w:color="auto" w:fill="auto"/>
            <w:noWrap/>
            <w:vAlign w:val="bottom"/>
            <w:hideMark/>
          </w:tcPr>
          <w:p w14:paraId="78E64698" w14:textId="77777777" w:rsidR="00CB0C4B" w:rsidRPr="00CB0C4B" w:rsidRDefault="00CB0C4B" w:rsidP="00CB0C4B">
            <w:pPr>
              <w:spacing w:after="0"/>
              <w:ind w:left="0" w:firstLine="0"/>
              <w:jc w:val="center"/>
              <w:rPr>
                <w:rFonts w:ascii="Arial" w:eastAsia="Times New Roman" w:hAnsi="Arial" w:cs="Arial"/>
                <w:sz w:val="20"/>
                <w:szCs w:val="20"/>
              </w:rPr>
            </w:pPr>
            <w:r w:rsidRPr="00CB0C4B">
              <w:rPr>
                <w:rFonts w:ascii="Arial" w:eastAsia="Times New Roman" w:hAnsi="Arial" w:cs="Arial"/>
                <w:sz w:val="20"/>
                <w:szCs w:val="20"/>
              </w:rPr>
              <w:t>1996.06</w:t>
            </w:r>
          </w:p>
        </w:tc>
        <w:tc>
          <w:tcPr>
            <w:tcW w:w="1080" w:type="dxa"/>
            <w:tcBorders>
              <w:top w:val="nil"/>
              <w:left w:val="nil"/>
              <w:bottom w:val="single" w:sz="4" w:space="0" w:color="auto"/>
              <w:right w:val="single" w:sz="4" w:space="0" w:color="auto"/>
            </w:tcBorders>
            <w:shd w:val="clear" w:color="auto" w:fill="auto"/>
            <w:noWrap/>
            <w:vAlign w:val="bottom"/>
            <w:hideMark/>
          </w:tcPr>
          <w:p w14:paraId="78E64699" w14:textId="77777777" w:rsidR="00CB0C4B" w:rsidRPr="00CB0C4B" w:rsidRDefault="00CB0C4B" w:rsidP="00CB0C4B">
            <w:pPr>
              <w:spacing w:after="0"/>
              <w:ind w:left="0" w:firstLine="0"/>
              <w:jc w:val="center"/>
              <w:rPr>
                <w:rFonts w:ascii="Arial" w:eastAsia="Times New Roman" w:hAnsi="Arial" w:cs="Arial"/>
                <w:sz w:val="20"/>
                <w:szCs w:val="20"/>
              </w:rPr>
            </w:pPr>
            <w:r w:rsidRPr="00CB0C4B">
              <w:rPr>
                <w:rFonts w:ascii="Arial" w:eastAsia="Times New Roman" w:hAnsi="Arial" w:cs="Arial"/>
                <w:sz w:val="20"/>
                <w:szCs w:val="20"/>
              </w:rPr>
              <w:t>1996</w:t>
            </w:r>
          </w:p>
        </w:tc>
        <w:tc>
          <w:tcPr>
            <w:tcW w:w="1350" w:type="dxa"/>
            <w:tcBorders>
              <w:top w:val="nil"/>
              <w:left w:val="nil"/>
              <w:bottom w:val="single" w:sz="4" w:space="0" w:color="auto"/>
              <w:right w:val="single" w:sz="4" w:space="0" w:color="auto"/>
            </w:tcBorders>
            <w:shd w:val="clear" w:color="auto" w:fill="auto"/>
            <w:noWrap/>
            <w:vAlign w:val="bottom"/>
            <w:hideMark/>
          </w:tcPr>
          <w:p w14:paraId="78E6469A" w14:textId="77777777" w:rsidR="00CB0C4B" w:rsidRPr="00CB0C4B" w:rsidRDefault="00CB0C4B" w:rsidP="00CB0C4B">
            <w:pPr>
              <w:spacing w:after="0"/>
              <w:ind w:left="0" w:firstLine="0"/>
              <w:jc w:val="center"/>
              <w:rPr>
                <w:rFonts w:ascii="Arial" w:eastAsia="Times New Roman" w:hAnsi="Arial" w:cs="Arial"/>
                <w:sz w:val="20"/>
                <w:szCs w:val="20"/>
              </w:rPr>
            </w:pPr>
            <w:r w:rsidRPr="00CB0C4B">
              <w:rPr>
                <w:rFonts w:ascii="Arial" w:eastAsia="Times New Roman" w:hAnsi="Arial" w:cs="Arial"/>
                <w:sz w:val="20"/>
                <w:szCs w:val="20"/>
              </w:rPr>
              <w:t>1992</w:t>
            </w:r>
          </w:p>
        </w:tc>
        <w:tc>
          <w:tcPr>
            <w:tcW w:w="1170" w:type="dxa"/>
            <w:tcBorders>
              <w:top w:val="nil"/>
              <w:left w:val="nil"/>
              <w:bottom w:val="single" w:sz="4" w:space="0" w:color="auto"/>
              <w:right w:val="single" w:sz="4" w:space="0" w:color="auto"/>
            </w:tcBorders>
            <w:shd w:val="clear" w:color="auto" w:fill="auto"/>
            <w:noWrap/>
            <w:vAlign w:val="bottom"/>
            <w:hideMark/>
          </w:tcPr>
          <w:p w14:paraId="78E6469B" w14:textId="77777777" w:rsidR="00CB0C4B" w:rsidRPr="00CB0C4B" w:rsidRDefault="00CB0C4B" w:rsidP="00CB0C4B">
            <w:pPr>
              <w:spacing w:after="0"/>
              <w:ind w:left="0" w:firstLine="0"/>
              <w:jc w:val="center"/>
              <w:rPr>
                <w:rFonts w:ascii="Arial" w:eastAsia="Times New Roman" w:hAnsi="Arial" w:cs="Arial"/>
                <w:sz w:val="20"/>
                <w:szCs w:val="20"/>
              </w:rPr>
            </w:pPr>
            <w:r w:rsidRPr="00CB0C4B">
              <w:rPr>
                <w:rFonts w:ascii="Arial" w:eastAsia="Times New Roman" w:hAnsi="Arial" w:cs="Arial"/>
                <w:sz w:val="20"/>
                <w:szCs w:val="20"/>
              </w:rPr>
              <w:t>2003</w:t>
            </w:r>
          </w:p>
        </w:tc>
        <w:tc>
          <w:tcPr>
            <w:tcW w:w="1350" w:type="dxa"/>
            <w:tcBorders>
              <w:top w:val="nil"/>
              <w:left w:val="nil"/>
              <w:bottom w:val="single" w:sz="4" w:space="0" w:color="auto"/>
              <w:right w:val="single" w:sz="4" w:space="0" w:color="auto"/>
            </w:tcBorders>
            <w:shd w:val="clear" w:color="auto" w:fill="auto"/>
            <w:noWrap/>
            <w:vAlign w:val="bottom"/>
            <w:hideMark/>
          </w:tcPr>
          <w:p w14:paraId="78E6469C" w14:textId="77777777" w:rsidR="00CB0C4B" w:rsidRPr="00CB0C4B" w:rsidRDefault="00CB0C4B" w:rsidP="00CB0C4B">
            <w:pPr>
              <w:spacing w:after="0"/>
              <w:ind w:left="0" w:firstLine="0"/>
              <w:jc w:val="center"/>
              <w:rPr>
                <w:rFonts w:ascii="Arial" w:eastAsia="Times New Roman" w:hAnsi="Arial" w:cs="Arial"/>
                <w:sz w:val="20"/>
                <w:szCs w:val="20"/>
              </w:rPr>
            </w:pPr>
            <w:r w:rsidRPr="00CB0C4B">
              <w:rPr>
                <w:rFonts w:ascii="Arial" w:eastAsia="Times New Roman" w:hAnsi="Arial" w:cs="Arial"/>
                <w:sz w:val="20"/>
                <w:szCs w:val="20"/>
              </w:rPr>
              <w:t>3.02</w:t>
            </w:r>
          </w:p>
        </w:tc>
        <w:tc>
          <w:tcPr>
            <w:tcW w:w="918" w:type="dxa"/>
            <w:tcBorders>
              <w:top w:val="nil"/>
              <w:left w:val="nil"/>
              <w:bottom w:val="single" w:sz="4" w:space="0" w:color="auto"/>
              <w:right w:val="single" w:sz="4" w:space="0" w:color="auto"/>
            </w:tcBorders>
            <w:shd w:val="clear" w:color="auto" w:fill="auto"/>
            <w:noWrap/>
            <w:vAlign w:val="bottom"/>
            <w:hideMark/>
          </w:tcPr>
          <w:p w14:paraId="78E6469D" w14:textId="77777777" w:rsidR="00CB0C4B" w:rsidRPr="00CB0C4B" w:rsidRDefault="00CB0C4B" w:rsidP="00CB0C4B">
            <w:pPr>
              <w:spacing w:after="0"/>
              <w:ind w:left="0" w:firstLine="0"/>
              <w:jc w:val="center"/>
              <w:rPr>
                <w:rFonts w:ascii="Arial" w:eastAsia="Times New Roman" w:hAnsi="Arial" w:cs="Arial"/>
                <w:sz w:val="20"/>
                <w:szCs w:val="20"/>
              </w:rPr>
            </w:pPr>
            <w:r w:rsidRPr="00CB0C4B">
              <w:rPr>
                <w:rFonts w:ascii="Arial" w:eastAsia="Times New Roman" w:hAnsi="Arial" w:cs="Arial"/>
                <w:sz w:val="20"/>
                <w:szCs w:val="20"/>
              </w:rPr>
              <w:t> </w:t>
            </w:r>
          </w:p>
        </w:tc>
      </w:tr>
      <w:tr w:rsidR="00CB0C4B" w:rsidRPr="00CB0C4B" w14:paraId="78E646A7" w14:textId="77777777" w:rsidTr="00CB0C4B">
        <w:trPr>
          <w:trHeight w:val="255"/>
        </w:trPr>
        <w:tc>
          <w:tcPr>
            <w:tcW w:w="1350" w:type="dxa"/>
            <w:tcBorders>
              <w:top w:val="nil"/>
              <w:left w:val="single" w:sz="4" w:space="0" w:color="auto"/>
              <w:bottom w:val="single" w:sz="4" w:space="0" w:color="auto"/>
              <w:right w:val="single" w:sz="4" w:space="0" w:color="auto"/>
            </w:tcBorders>
            <w:shd w:val="clear" w:color="auto" w:fill="auto"/>
            <w:noWrap/>
            <w:vAlign w:val="bottom"/>
            <w:hideMark/>
          </w:tcPr>
          <w:p w14:paraId="78E6469F" w14:textId="77777777" w:rsidR="00CB0C4B" w:rsidRPr="00CB0C4B" w:rsidRDefault="00CB0C4B" w:rsidP="00CB0C4B">
            <w:pPr>
              <w:spacing w:after="0"/>
              <w:ind w:left="0" w:firstLine="0"/>
              <w:jc w:val="center"/>
              <w:rPr>
                <w:rFonts w:ascii="Arial" w:eastAsia="Times New Roman" w:hAnsi="Arial" w:cs="Arial"/>
                <w:sz w:val="20"/>
                <w:szCs w:val="20"/>
              </w:rPr>
            </w:pPr>
            <w:r w:rsidRPr="00CB0C4B">
              <w:rPr>
                <w:rFonts w:ascii="Arial" w:eastAsia="Times New Roman" w:hAnsi="Arial" w:cs="Arial"/>
                <w:sz w:val="20"/>
                <w:szCs w:val="20"/>
              </w:rPr>
              <w:t>25R03000</w:t>
            </w:r>
          </w:p>
        </w:tc>
        <w:tc>
          <w:tcPr>
            <w:tcW w:w="990" w:type="dxa"/>
            <w:tcBorders>
              <w:top w:val="nil"/>
              <w:left w:val="nil"/>
              <w:bottom w:val="single" w:sz="4" w:space="0" w:color="auto"/>
              <w:right w:val="single" w:sz="4" w:space="0" w:color="auto"/>
            </w:tcBorders>
            <w:shd w:val="clear" w:color="auto" w:fill="auto"/>
            <w:noWrap/>
            <w:vAlign w:val="bottom"/>
            <w:hideMark/>
          </w:tcPr>
          <w:p w14:paraId="78E646A0" w14:textId="77777777" w:rsidR="00CB0C4B" w:rsidRPr="00CB0C4B" w:rsidRDefault="00CB0C4B" w:rsidP="00CB0C4B">
            <w:pPr>
              <w:spacing w:after="0"/>
              <w:ind w:left="0" w:firstLine="0"/>
              <w:jc w:val="center"/>
              <w:rPr>
                <w:rFonts w:ascii="Arial" w:eastAsia="Times New Roman" w:hAnsi="Arial" w:cs="Arial"/>
                <w:sz w:val="20"/>
                <w:szCs w:val="20"/>
              </w:rPr>
            </w:pPr>
            <w:r w:rsidRPr="00CB0C4B">
              <w:rPr>
                <w:rFonts w:ascii="Arial" w:eastAsia="Times New Roman" w:hAnsi="Arial" w:cs="Arial"/>
                <w:sz w:val="20"/>
                <w:szCs w:val="20"/>
              </w:rPr>
              <w:t>10</w:t>
            </w:r>
          </w:p>
        </w:tc>
        <w:tc>
          <w:tcPr>
            <w:tcW w:w="1170" w:type="dxa"/>
            <w:tcBorders>
              <w:top w:val="nil"/>
              <w:left w:val="nil"/>
              <w:bottom w:val="single" w:sz="4" w:space="0" w:color="auto"/>
              <w:right w:val="single" w:sz="4" w:space="0" w:color="auto"/>
            </w:tcBorders>
            <w:shd w:val="clear" w:color="auto" w:fill="auto"/>
            <w:noWrap/>
            <w:vAlign w:val="bottom"/>
            <w:hideMark/>
          </w:tcPr>
          <w:p w14:paraId="78E646A1" w14:textId="77777777" w:rsidR="00CB0C4B" w:rsidRPr="00CB0C4B" w:rsidRDefault="00CB0C4B" w:rsidP="00CB0C4B">
            <w:pPr>
              <w:spacing w:after="0"/>
              <w:ind w:left="0" w:firstLine="0"/>
              <w:jc w:val="center"/>
              <w:rPr>
                <w:rFonts w:ascii="Arial" w:eastAsia="Times New Roman" w:hAnsi="Arial" w:cs="Arial"/>
                <w:sz w:val="20"/>
                <w:szCs w:val="20"/>
              </w:rPr>
            </w:pPr>
            <w:r w:rsidRPr="00CB0C4B">
              <w:rPr>
                <w:rFonts w:ascii="Arial" w:eastAsia="Times New Roman" w:hAnsi="Arial" w:cs="Arial"/>
                <w:sz w:val="20"/>
                <w:szCs w:val="20"/>
              </w:rPr>
              <w:t>2002.70</w:t>
            </w:r>
          </w:p>
        </w:tc>
        <w:tc>
          <w:tcPr>
            <w:tcW w:w="1080" w:type="dxa"/>
            <w:tcBorders>
              <w:top w:val="nil"/>
              <w:left w:val="nil"/>
              <w:bottom w:val="single" w:sz="4" w:space="0" w:color="auto"/>
              <w:right w:val="single" w:sz="4" w:space="0" w:color="auto"/>
            </w:tcBorders>
            <w:shd w:val="clear" w:color="auto" w:fill="auto"/>
            <w:noWrap/>
            <w:vAlign w:val="bottom"/>
            <w:hideMark/>
          </w:tcPr>
          <w:p w14:paraId="78E646A2" w14:textId="77777777" w:rsidR="00CB0C4B" w:rsidRPr="00CB0C4B" w:rsidRDefault="00CB0C4B" w:rsidP="00CB0C4B">
            <w:pPr>
              <w:spacing w:after="0"/>
              <w:ind w:left="0" w:firstLine="0"/>
              <w:jc w:val="center"/>
              <w:rPr>
                <w:rFonts w:ascii="Arial" w:eastAsia="Times New Roman" w:hAnsi="Arial" w:cs="Arial"/>
                <w:sz w:val="20"/>
                <w:szCs w:val="20"/>
              </w:rPr>
            </w:pPr>
            <w:r w:rsidRPr="00CB0C4B">
              <w:rPr>
                <w:rFonts w:ascii="Arial" w:eastAsia="Times New Roman" w:hAnsi="Arial" w:cs="Arial"/>
                <w:sz w:val="20"/>
                <w:szCs w:val="20"/>
              </w:rPr>
              <w:t>2002.5</w:t>
            </w:r>
          </w:p>
        </w:tc>
        <w:tc>
          <w:tcPr>
            <w:tcW w:w="1350" w:type="dxa"/>
            <w:tcBorders>
              <w:top w:val="nil"/>
              <w:left w:val="nil"/>
              <w:bottom w:val="single" w:sz="4" w:space="0" w:color="auto"/>
              <w:right w:val="single" w:sz="4" w:space="0" w:color="auto"/>
            </w:tcBorders>
            <w:shd w:val="clear" w:color="auto" w:fill="auto"/>
            <w:noWrap/>
            <w:vAlign w:val="bottom"/>
            <w:hideMark/>
          </w:tcPr>
          <w:p w14:paraId="78E646A3" w14:textId="77777777" w:rsidR="00CB0C4B" w:rsidRPr="00CB0C4B" w:rsidRDefault="00CB0C4B" w:rsidP="00CB0C4B">
            <w:pPr>
              <w:spacing w:after="0"/>
              <w:ind w:left="0" w:firstLine="0"/>
              <w:jc w:val="center"/>
              <w:rPr>
                <w:rFonts w:ascii="Arial" w:eastAsia="Times New Roman" w:hAnsi="Arial" w:cs="Arial"/>
                <w:sz w:val="20"/>
                <w:szCs w:val="20"/>
              </w:rPr>
            </w:pPr>
            <w:r w:rsidRPr="00CB0C4B">
              <w:rPr>
                <w:rFonts w:ascii="Arial" w:eastAsia="Times New Roman" w:hAnsi="Arial" w:cs="Arial"/>
                <w:sz w:val="20"/>
                <w:szCs w:val="20"/>
              </w:rPr>
              <w:t>1998</w:t>
            </w:r>
          </w:p>
        </w:tc>
        <w:tc>
          <w:tcPr>
            <w:tcW w:w="1170" w:type="dxa"/>
            <w:tcBorders>
              <w:top w:val="nil"/>
              <w:left w:val="nil"/>
              <w:bottom w:val="single" w:sz="4" w:space="0" w:color="auto"/>
              <w:right w:val="single" w:sz="4" w:space="0" w:color="auto"/>
            </w:tcBorders>
            <w:shd w:val="clear" w:color="auto" w:fill="auto"/>
            <w:noWrap/>
            <w:vAlign w:val="bottom"/>
            <w:hideMark/>
          </w:tcPr>
          <w:p w14:paraId="78E646A4" w14:textId="77777777" w:rsidR="00CB0C4B" w:rsidRPr="00CB0C4B" w:rsidRDefault="00CB0C4B" w:rsidP="00CB0C4B">
            <w:pPr>
              <w:spacing w:after="0"/>
              <w:ind w:left="0" w:firstLine="0"/>
              <w:jc w:val="center"/>
              <w:rPr>
                <w:rFonts w:ascii="Arial" w:eastAsia="Times New Roman" w:hAnsi="Arial" w:cs="Arial"/>
                <w:sz w:val="20"/>
                <w:szCs w:val="20"/>
              </w:rPr>
            </w:pPr>
            <w:r w:rsidRPr="00CB0C4B">
              <w:rPr>
                <w:rFonts w:ascii="Arial" w:eastAsia="Times New Roman" w:hAnsi="Arial" w:cs="Arial"/>
                <w:sz w:val="20"/>
                <w:szCs w:val="20"/>
              </w:rPr>
              <w:t>2007</w:t>
            </w:r>
          </w:p>
        </w:tc>
        <w:tc>
          <w:tcPr>
            <w:tcW w:w="1350" w:type="dxa"/>
            <w:tcBorders>
              <w:top w:val="nil"/>
              <w:left w:val="nil"/>
              <w:bottom w:val="single" w:sz="4" w:space="0" w:color="auto"/>
              <w:right w:val="single" w:sz="4" w:space="0" w:color="auto"/>
            </w:tcBorders>
            <w:shd w:val="clear" w:color="auto" w:fill="auto"/>
            <w:noWrap/>
            <w:vAlign w:val="bottom"/>
            <w:hideMark/>
          </w:tcPr>
          <w:p w14:paraId="78E646A5" w14:textId="77777777" w:rsidR="00CB0C4B" w:rsidRPr="00CB0C4B" w:rsidRDefault="00CB0C4B" w:rsidP="00CB0C4B">
            <w:pPr>
              <w:spacing w:after="0"/>
              <w:ind w:left="0" w:firstLine="0"/>
              <w:jc w:val="center"/>
              <w:rPr>
                <w:rFonts w:ascii="Arial" w:eastAsia="Times New Roman" w:hAnsi="Arial" w:cs="Arial"/>
                <w:sz w:val="20"/>
                <w:szCs w:val="20"/>
              </w:rPr>
            </w:pPr>
            <w:r w:rsidRPr="00CB0C4B">
              <w:rPr>
                <w:rFonts w:ascii="Arial" w:eastAsia="Times New Roman" w:hAnsi="Arial" w:cs="Arial"/>
                <w:sz w:val="20"/>
                <w:szCs w:val="20"/>
              </w:rPr>
              <w:t>3.06</w:t>
            </w:r>
          </w:p>
        </w:tc>
        <w:tc>
          <w:tcPr>
            <w:tcW w:w="918" w:type="dxa"/>
            <w:tcBorders>
              <w:top w:val="nil"/>
              <w:left w:val="nil"/>
              <w:bottom w:val="single" w:sz="4" w:space="0" w:color="auto"/>
              <w:right w:val="single" w:sz="4" w:space="0" w:color="auto"/>
            </w:tcBorders>
            <w:shd w:val="clear" w:color="auto" w:fill="auto"/>
            <w:noWrap/>
            <w:vAlign w:val="bottom"/>
            <w:hideMark/>
          </w:tcPr>
          <w:p w14:paraId="78E646A6" w14:textId="77777777" w:rsidR="00CB0C4B" w:rsidRPr="00CB0C4B" w:rsidRDefault="00CB0C4B" w:rsidP="00CB0C4B">
            <w:pPr>
              <w:spacing w:after="0"/>
              <w:ind w:left="0" w:firstLine="0"/>
              <w:jc w:val="center"/>
              <w:rPr>
                <w:rFonts w:ascii="Arial" w:eastAsia="Times New Roman" w:hAnsi="Arial" w:cs="Arial"/>
                <w:sz w:val="20"/>
                <w:szCs w:val="20"/>
              </w:rPr>
            </w:pPr>
            <w:r w:rsidRPr="00CB0C4B">
              <w:rPr>
                <w:rFonts w:ascii="Arial" w:eastAsia="Times New Roman" w:hAnsi="Arial" w:cs="Arial"/>
                <w:sz w:val="20"/>
                <w:szCs w:val="20"/>
              </w:rPr>
              <w:t> </w:t>
            </w:r>
          </w:p>
        </w:tc>
      </w:tr>
      <w:tr w:rsidR="00CB0C4B" w:rsidRPr="00CB0C4B" w14:paraId="78E646B0" w14:textId="77777777" w:rsidTr="00CB0C4B">
        <w:trPr>
          <w:trHeight w:val="255"/>
        </w:trPr>
        <w:tc>
          <w:tcPr>
            <w:tcW w:w="1350" w:type="dxa"/>
            <w:tcBorders>
              <w:top w:val="nil"/>
              <w:left w:val="single" w:sz="4" w:space="0" w:color="auto"/>
              <w:bottom w:val="single" w:sz="4" w:space="0" w:color="auto"/>
              <w:right w:val="single" w:sz="4" w:space="0" w:color="auto"/>
            </w:tcBorders>
            <w:shd w:val="clear" w:color="auto" w:fill="auto"/>
            <w:noWrap/>
            <w:vAlign w:val="bottom"/>
            <w:hideMark/>
          </w:tcPr>
          <w:p w14:paraId="78E646A8" w14:textId="77777777" w:rsidR="00CB0C4B" w:rsidRPr="00CB0C4B" w:rsidRDefault="00CB0C4B" w:rsidP="00CB0C4B">
            <w:pPr>
              <w:spacing w:after="0"/>
              <w:ind w:left="0" w:firstLine="0"/>
              <w:jc w:val="center"/>
              <w:rPr>
                <w:rFonts w:ascii="Arial" w:eastAsia="Times New Roman" w:hAnsi="Arial" w:cs="Arial"/>
                <w:sz w:val="20"/>
                <w:szCs w:val="20"/>
              </w:rPr>
            </w:pPr>
            <w:r w:rsidRPr="00CB0C4B">
              <w:rPr>
                <w:rFonts w:ascii="Arial" w:eastAsia="Times New Roman" w:hAnsi="Arial" w:cs="Arial"/>
                <w:sz w:val="20"/>
                <w:szCs w:val="20"/>
              </w:rPr>
              <w:t>08R22000</w:t>
            </w:r>
          </w:p>
        </w:tc>
        <w:tc>
          <w:tcPr>
            <w:tcW w:w="990" w:type="dxa"/>
            <w:tcBorders>
              <w:top w:val="nil"/>
              <w:left w:val="nil"/>
              <w:bottom w:val="single" w:sz="4" w:space="0" w:color="auto"/>
              <w:right w:val="single" w:sz="4" w:space="0" w:color="auto"/>
            </w:tcBorders>
            <w:shd w:val="clear" w:color="auto" w:fill="auto"/>
            <w:noWrap/>
            <w:vAlign w:val="bottom"/>
            <w:hideMark/>
          </w:tcPr>
          <w:p w14:paraId="78E646A9" w14:textId="77777777" w:rsidR="00CB0C4B" w:rsidRPr="00CB0C4B" w:rsidRDefault="00CB0C4B" w:rsidP="00CB0C4B">
            <w:pPr>
              <w:spacing w:after="0"/>
              <w:ind w:left="0" w:firstLine="0"/>
              <w:jc w:val="center"/>
              <w:rPr>
                <w:rFonts w:ascii="Arial" w:eastAsia="Times New Roman" w:hAnsi="Arial" w:cs="Arial"/>
                <w:sz w:val="20"/>
                <w:szCs w:val="20"/>
              </w:rPr>
            </w:pPr>
            <w:r w:rsidRPr="00CB0C4B">
              <w:rPr>
                <w:rFonts w:ascii="Arial" w:eastAsia="Times New Roman" w:hAnsi="Arial" w:cs="Arial"/>
                <w:sz w:val="20"/>
                <w:szCs w:val="20"/>
              </w:rPr>
              <w:t>41</w:t>
            </w:r>
          </w:p>
        </w:tc>
        <w:tc>
          <w:tcPr>
            <w:tcW w:w="1170" w:type="dxa"/>
            <w:tcBorders>
              <w:top w:val="nil"/>
              <w:left w:val="nil"/>
              <w:bottom w:val="single" w:sz="4" w:space="0" w:color="auto"/>
              <w:right w:val="single" w:sz="4" w:space="0" w:color="auto"/>
            </w:tcBorders>
            <w:shd w:val="clear" w:color="auto" w:fill="auto"/>
            <w:noWrap/>
            <w:vAlign w:val="bottom"/>
            <w:hideMark/>
          </w:tcPr>
          <w:p w14:paraId="78E646AA" w14:textId="77777777" w:rsidR="00CB0C4B" w:rsidRPr="00CB0C4B" w:rsidRDefault="00CB0C4B" w:rsidP="00CB0C4B">
            <w:pPr>
              <w:spacing w:after="0"/>
              <w:ind w:left="0" w:firstLine="0"/>
              <w:jc w:val="center"/>
              <w:rPr>
                <w:rFonts w:ascii="Arial" w:eastAsia="Times New Roman" w:hAnsi="Arial" w:cs="Arial"/>
                <w:sz w:val="20"/>
                <w:szCs w:val="20"/>
              </w:rPr>
            </w:pPr>
            <w:r w:rsidRPr="00CB0C4B">
              <w:rPr>
                <w:rFonts w:ascii="Arial" w:eastAsia="Times New Roman" w:hAnsi="Arial" w:cs="Arial"/>
                <w:sz w:val="20"/>
                <w:szCs w:val="20"/>
              </w:rPr>
              <w:t>1989.54</w:t>
            </w:r>
          </w:p>
        </w:tc>
        <w:tc>
          <w:tcPr>
            <w:tcW w:w="1080" w:type="dxa"/>
            <w:tcBorders>
              <w:top w:val="nil"/>
              <w:left w:val="nil"/>
              <w:bottom w:val="single" w:sz="4" w:space="0" w:color="auto"/>
              <w:right w:val="single" w:sz="4" w:space="0" w:color="auto"/>
            </w:tcBorders>
            <w:shd w:val="clear" w:color="auto" w:fill="auto"/>
            <w:noWrap/>
            <w:vAlign w:val="bottom"/>
            <w:hideMark/>
          </w:tcPr>
          <w:p w14:paraId="78E646AB" w14:textId="77777777" w:rsidR="00CB0C4B" w:rsidRPr="00CB0C4B" w:rsidRDefault="00CB0C4B" w:rsidP="00CB0C4B">
            <w:pPr>
              <w:spacing w:after="0"/>
              <w:ind w:left="0" w:firstLine="0"/>
              <w:jc w:val="center"/>
              <w:rPr>
                <w:rFonts w:ascii="Arial" w:eastAsia="Times New Roman" w:hAnsi="Arial" w:cs="Arial"/>
                <w:sz w:val="20"/>
                <w:szCs w:val="20"/>
              </w:rPr>
            </w:pPr>
            <w:r w:rsidRPr="00CB0C4B">
              <w:rPr>
                <w:rFonts w:ascii="Arial" w:eastAsia="Times New Roman" w:hAnsi="Arial" w:cs="Arial"/>
                <w:sz w:val="20"/>
                <w:szCs w:val="20"/>
              </w:rPr>
              <w:t>1989</w:t>
            </w:r>
          </w:p>
        </w:tc>
        <w:tc>
          <w:tcPr>
            <w:tcW w:w="1350" w:type="dxa"/>
            <w:tcBorders>
              <w:top w:val="nil"/>
              <w:left w:val="nil"/>
              <w:bottom w:val="single" w:sz="4" w:space="0" w:color="auto"/>
              <w:right w:val="single" w:sz="4" w:space="0" w:color="auto"/>
            </w:tcBorders>
            <w:shd w:val="clear" w:color="auto" w:fill="auto"/>
            <w:noWrap/>
            <w:vAlign w:val="bottom"/>
            <w:hideMark/>
          </w:tcPr>
          <w:p w14:paraId="78E646AC" w14:textId="77777777" w:rsidR="00CB0C4B" w:rsidRPr="00CB0C4B" w:rsidRDefault="00CB0C4B" w:rsidP="00CB0C4B">
            <w:pPr>
              <w:spacing w:after="0"/>
              <w:ind w:left="0" w:firstLine="0"/>
              <w:jc w:val="center"/>
              <w:rPr>
                <w:rFonts w:ascii="Arial" w:eastAsia="Times New Roman" w:hAnsi="Arial" w:cs="Arial"/>
                <w:sz w:val="20"/>
                <w:szCs w:val="20"/>
              </w:rPr>
            </w:pPr>
            <w:r w:rsidRPr="00CB0C4B">
              <w:rPr>
                <w:rFonts w:ascii="Arial" w:eastAsia="Times New Roman" w:hAnsi="Arial" w:cs="Arial"/>
                <w:sz w:val="20"/>
                <w:szCs w:val="20"/>
              </w:rPr>
              <w:t>1986</w:t>
            </w:r>
          </w:p>
        </w:tc>
        <w:tc>
          <w:tcPr>
            <w:tcW w:w="1170" w:type="dxa"/>
            <w:tcBorders>
              <w:top w:val="nil"/>
              <w:left w:val="nil"/>
              <w:bottom w:val="single" w:sz="4" w:space="0" w:color="auto"/>
              <w:right w:val="single" w:sz="4" w:space="0" w:color="auto"/>
            </w:tcBorders>
            <w:shd w:val="clear" w:color="auto" w:fill="auto"/>
            <w:noWrap/>
            <w:vAlign w:val="bottom"/>
            <w:hideMark/>
          </w:tcPr>
          <w:p w14:paraId="78E646AD" w14:textId="77777777" w:rsidR="00CB0C4B" w:rsidRPr="00CB0C4B" w:rsidRDefault="00CB0C4B" w:rsidP="00CB0C4B">
            <w:pPr>
              <w:spacing w:after="0"/>
              <w:ind w:left="0" w:firstLine="0"/>
              <w:jc w:val="center"/>
              <w:rPr>
                <w:rFonts w:ascii="Arial" w:eastAsia="Times New Roman" w:hAnsi="Arial" w:cs="Arial"/>
                <w:sz w:val="20"/>
                <w:szCs w:val="20"/>
              </w:rPr>
            </w:pPr>
            <w:r w:rsidRPr="00CB0C4B">
              <w:rPr>
                <w:rFonts w:ascii="Arial" w:eastAsia="Times New Roman" w:hAnsi="Arial" w:cs="Arial"/>
                <w:sz w:val="20"/>
                <w:szCs w:val="20"/>
              </w:rPr>
              <w:t>1998</w:t>
            </w:r>
          </w:p>
        </w:tc>
        <w:tc>
          <w:tcPr>
            <w:tcW w:w="1350" w:type="dxa"/>
            <w:tcBorders>
              <w:top w:val="nil"/>
              <w:left w:val="nil"/>
              <w:bottom w:val="single" w:sz="4" w:space="0" w:color="auto"/>
              <w:right w:val="single" w:sz="4" w:space="0" w:color="auto"/>
            </w:tcBorders>
            <w:shd w:val="clear" w:color="auto" w:fill="auto"/>
            <w:noWrap/>
            <w:vAlign w:val="bottom"/>
            <w:hideMark/>
          </w:tcPr>
          <w:p w14:paraId="78E646AE" w14:textId="77777777" w:rsidR="00CB0C4B" w:rsidRPr="00CB0C4B" w:rsidRDefault="00CB0C4B" w:rsidP="00CB0C4B">
            <w:pPr>
              <w:spacing w:after="0"/>
              <w:ind w:left="0" w:firstLine="0"/>
              <w:jc w:val="center"/>
              <w:rPr>
                <w:rFonts w:ascii="Arial" w:eastAsia="Times New Roman" w:hAnsi="Arial" w:cs="Arial"/>
                <w:sz w:val="20"/>
                <w:szCs w:val="20"/>
              </w:rPr>
            </w:pPr>
            <w:r w:rsidRPr="00CB0C4B">
              <w:rPr>
                <w:rFonts w:ascii="Arial" w:eastAsia="Times New Roman" w:hAnsi="Arial" w:cs="Arial"/>
                <w:sz w:val="20"/>
                <w:szCs w:val="20"/>
              </w:rPr>
              <w:t>3.08</w:t>
            </w:r>
          </w:p>
        </w:tc>
        <w:tc>
          <w:tcPr>
            <w:tcW w:w="918" w:type="dxa"/>
            <w:tcBorders>
              <w:top w:val="nil"/>
              <w:left w:val="nil"/>
              <w:bottom w:val="single" w:sz="4" w:space="0" w:color="auto"/>
              <w:right w:val="single" w:sz="4" w:space="0" w:color="auto"/>
            </w:tcBorders>
            <w:shd w:val="clear" w:color="auto" w:fill="auto"/>
            <w:noWrap/>
            <w:vAlign w:val="bottom"/>
            <w:hideMark/>
          </w:tcPr>
          <w:p w14:paraId="78E646AF" w14:textId="77777777" w:rsidR="00CB0C4B" w:rsidRPr="00CB0C4B" w:rsidRDefault="00CB0C4B" w:rsidP="00CB0C4B">
            <w:pPr>
              <w:spacing w:after="0"/>
              <w:ind w:left="0" w:firstLine="0"/>
              <w:jc w:val="center"/>
              <w:rPr>
                <w:rFonts w:ascii="Arial" w:eastAsia="Times New Roman" w:hAnsi="Arial" w:cs="Arial"/>
                <w:sz w:val="20"/>
                <w:szCs w:val="20"/>
              </w:rPr>
            </w:pPr>
            <w:r w:rsidRPr="00CB0C4B">
              <w:rPr>
                <w:rFonts w:ascii="Arial" w:eastAsia="Times New Roman" w:hAnsi="Arial" w:cs="Arial"/>
                <w:sz w:val="20"/>
                <w:szCs w:val="20"/>
              </w:rPr>
              <w:t> </w:t>
            </w:r>
          </w:p>
        </w:tc>
      </w:tr>
      <w:tr w:rsidR="00CB0C4B" w:rsidRPr="00CB0C4B" w14:paraId="78E646B9" w14:textId="77777777" w:rsidTr="00CB0C4B">
        <w:trPr>
          <w:trHeight w:val="255"/>
        </w:trPr>
        <w:tc>
          <w:tcPr>
            <w:tcW w:w="1350" w:type="dxa"/>
            <w:tcBorders>
              <w:top w:val="nil"/>
              <w:left w:val="single" w:sz="4" w:space="0" w:color="auto"/>
              <w:bottom w:val="single" w:sz="4" w:space="0" w:color="auto"/>
              <w:right w:val="single" w:sz="4" w:space="0" w:color="auto"/>
            </w:tcBorders>
            <w:shd w:val="clear" w:color="auto" w:fill="auto"/>
            <w:noWrap/>
            <w:vAlign w:val="bottom"/>
            <w:hideMark/>
          </w:tcPr>
          <w:p w14:paraId="78E646B1" w14:textId="77777777" w:rsidR="00CB0C4B" w:rsidRPr="00CB0C4B" w:rsidRDefault="00CB0C4B" w:rsidP="00CB0C4B">
            <w:pPr>
              <w:spacing w:after="0"/>
              <w:ind w:left="0" w:firstLine="0"/>
              <w:jc w:val="center"/>
              <w:rPr>
                <w:rFonts w:ascii="Arial" w:eastAsia="Times New Roman" w:hAnsi="Arial" w:cs="Arial"/>
                <w:sz w:val="20"/>
                <w:szCs w:val="20"/>
              </w:rPr>
            </w:pPr>
            <w:r w:rsidRPr="00CB0C4B">
              <w:rPr>
                <w:rFonts w:ascii="Arial" w:eastAsia="Times New Roman" w:hAnsi="Arial" w:cs="Arial"/>
                <w:sz w:val="20"/>
                <w:szCs w:val="20"/>
              </w:rPr>
              <w:t>16C24000</w:t>
            </w:r>
          </w:p>
        </w:tc>
        <w:tc>
          <w:tcPr>
            <w:tcW w:w="990" w:type="dxa"/>
            <w:tcBorders>
              <w:top w:val="nil"/>
              <w:left w:val="nil"/>
              <w:bottom w:val="single" w:sz="4" w:space="0" w:color="auto"/>
              <w:right w:val="single" w:sz="4" w:space="0" w:color="auto"/>
            </w:tcBorders>
            <w:shd w:val="clear" w:color="auto" w:fill="auto"/>
            <w:noWrap/>
            <w:vAlign w:val="bottom"/>
            <w:hideMark/>
          </w:tcPr>
          <w:p w14:paraId="78E646B2" w14:textId="77777777" w:rsidR="00CB0C4B" w:rsidRPr="00CB0C4B" w:rsidRDefault="00CB0C4B" w:rsidP="00CB0C4B">
            <w:pPr>
              <w:spacing w:after="0"/>
              <w:ind w:left="0" w:firstLine="0"/>
              <w:jc w:val="center"/>
              <w:rPr>
                <w:rFonts w:ascii="Arial" w:eastAsia="Times New Roman" w:hAnsi="Arial" w:cs="Arial"/>
                <w:sz w:val="20"/>
                <w:szCs w:val="20"/>
              </w:rPr>
            </w:pPr>
            <w:r w:rsidRPr="00CB0C4B">
              <w:rPr>
                <w:rFonts w:ascii="Arial" w:eastAsia="Times New Roman" w:hAnsi="Arial" w:cs="Arial"/>
                <w:sz w:val="20"/>
                <w:szCs w:val="20"/>
              </w:rPr>
              <w:t>18</w:t>
            </w:r>
          </w:p>
        </w:tc>
        <w:tc>
          <w:tcPr>
            <w:tcW w:w="1170" w:type="dxa"/>
            <w:tcBorders>
              <w:top w:val="nil"/>
              <w:left w:val="nil"/>
              <w:bottom w:val="single" w:sz="4" w:space="0" w:color="auto"/>
              <w:right w:val="single" w:sz="4" w:space="0" w:color="auto"/>
            </w:tcBorders>
            <w:shd w:val="clear" w:color="auto" w:fill="auto"/>
            <w:noWrap/>
            <w:vAlign w:val="bottom"/>
            <w:hideMark/>
          </w:tcPr>
          <w:p w14:paraId="78E646B3" w14:textId="77777777" w:rsidR="00CB0C4B" w:rsidRPr="00CB0C4B" w:rsidRDefault="00CB0C4B" w:rsidP="00CB0C4B">
            <w:pPr>
              <w:spacing w:after="0"/>
              <w:ind w:left="0" w:firstLine="0"/>
              <w:jc w:val="center"/>
              <w:rPr>
                <w:rFonts w:ascii="Arial" w:eastAsia="Times New Roman" w:hAnsi="Arial" w:cs="Arial"/>
                <w:sz w:val="20"/>
                <w:szCs w:val="20"/>
              </w:rPr>
            </w:pPr>
            <w:r w:rsidRPr="00CB0C4B">
              <w:rPr>
                <w:rFonts w:ascii="Arial" w:eastAsia="Times New Roman" w:hAnsi="Arial" w:cs="Arial"/>
                <w:sz w:val="20"/>
                <w:szCs w:val="20"/>
              </w:rPr>
              <w:t>1983.72</w:t>
            </w:r>
          </w:p>
        </w:tc>
        <w:tc>
          <w:tcPr>
            <w:tcW w:w="1080" w:type="dxa"/>
            <w:tcBorders>
              <w:top w:val="nil"/>
              <w:left w:val="nil"/>
              <w:bottom w:val="single" w:sz="4" w:space="0" w:color="auto"/>
              <w:right w:val="single" w:sz="4" w:space="0" w:color="auto"/>
            </w:tcBorders>
            <w:shd w:val="clear" w:color="auto" w:fill="auto"/>
            <w:noWrap/>
            <w:vAlign w:val="bottom"/>
            <w:hideMark/>
          </w:tcPr>
          <w:p w14:paraId="78E646B4" w14:textId="77777777" w:rsidR="00CB0C4B" w:rsidRPr="00CB0C4B" w:rsidRDefault="00CB0C4B" w:rsidP="00CB0C4B">
            <w:pPr>
              <w:spacing w:after="0"/>
              <w:ind w:left="0" w:firstLine="0"/>
              <w:jc w:val="center"/>
              <w:rPr>
                <w:rFonts w:ascii="Arial" w:eastAsia="Times New Roman" w:hAnsi="Arial" w:cs="Arial"/>
                <w:sz w:val="20"/>
                <w:szCs w:val="20"/>
              </w:rPr>
            </w:pPr>
            <w:r w:rsidRPr="00CB0C4B">
              <w:rPr>
                <w:rFonts w:ascii="Arial" w:eastAsia="Times New Roman" w:hAnsi="Arial" w:cs="Arial"/>
                <w:sz w:val="20"/>
                <w:szCs w:val="20"/>
              </w:rPr>
              <w:t>1985</w:t>
            </w:r>
          </w:p>
        </w:tc>
        <w:tc>
          <w:tcPr>
            <w:tcW w:w="1350" w:type="dxa"/>
            <w:tcBorders>
              <w:top w:val="nil"/>
              <w:left w:val="nil"/>
              <w:bottom w:val="single" w:sz="4" w:space="0" w:color="auto"/>
              <w:right w:val="single" w:sz="4" w:space="0" w:color="auto"/>
            </w:tcBorders>
            <w:shd w:val="clear" w:color="auto" w:fill="auto"/>
            <w:noWrap/>
            <w:vAlign w:val="bottom"/>
            <w:hideMark/>
          </w:tcPr>
          <w:p w14:paraId="78E646B5" w14:textId="77777777" w:rsidR="00CB0C4B" w:rsidRPr="00CB0C4B" w:rsidRDefault="00CB0C4B" w:rsidP="00CB0C4B">
            <w:pPr>
              <w:spacing w:after="0"/>
              <w:ind w:left="0" w:firstLine="0"/>
              <w:jc w:val="center"/>
              <w:rPr>
                <w:rFonts w:ascii="Arial" w:eastAsia="Times New Roman" w:hAnsi="Arial" w:cs="Arial"/>
                <w:sz w:val="20"/>
                <w:szCs w:val="20"/>
              </w:rPr>
            </w:pPr>
            <w:r w:rsidRPr="00CB0C4B">
              <w:rPr>
                <w:rFonts w:ascii="Arial" w:eastAsia="Times New Roman" w:hAnsi="Arial" w:cs="Arial"/>
                <w:sz w:val="20"/>
                <w:szCs w:val="20"/>
              </w:rPr>
              <w:t>1980</w:t>
            </w:r>
          </w:p>
        </w:tc>
        <w:tc>
          <w:tcPr>
            <w:tcW w:w="1170" w:type="dxa"/>
            <w:tcBorders>
              <w:top w:val="nil"/>
              <w:left w:val="nil"/>
              <w:bottom w:val="single" w:sz="4" w:space="0" w:color="auto"/>
              <w:right w:val="single" w:sz="4" w:space="0" w:color="auto"/>
            </w:tcBorders>
            <w:shd w:val="clear" w:color="auto" w:fill="auto"/>
            <w:noWrap/>
            <w:vAlign w:val="bottom"/>
            <w:hideMark/>
          </w:tcPr>
          <w:p w14:paraId="78E646B6" w14:textId="77777777" w:rsidR="00CB0C4B" w:rsidRPr="00CB0C4B" w:rsidRDefault="00CB0C4B" w:rsidP="00CB0C4B">
            <w:pPr>
              <w:spacing w:after="0"/>
              <w:ind w:left="0" w:firstLine="0"/>
              <w:jc w:val="center"/>
              <w:rPr>
                <w:rFonts w:ascii="Arial" w:eastAsia="Times New Roman" w:hAnsi="Arial" w:cs="Arial"/>
                <w:sz w:val="20"/>
                <w:szCs w:val="20"/>
              </w:rPr>
            </w:pPr>
            <w:r w:rsidRPr="00CB0C4B">
              <w:rPr>
                <w:rFonts w:ascii="Arial" w:eastAsia="Times New Roman" w:hAnsi="Arial" w:cs="Arial"/>
                <w:sz w:val="20"/>
                <w:szCs w:val="20"/>
              </w:rPr>
              <w:t>1987</w:t>
            </w:r>
          </w:p>
        </w:tc>
        <w:tc>
          <w:tcPr>
            <w:tcW w:w="1350" w:type="dxa"/>
            <w:tcBorders>
              <w:top w:val="nil"/>
              <w:left w:val="nil"/>
              <w:bottom w:val="single" w:sz="4" w:space="0" w:color="auto"/>
              <w:right w:val="single" w:sz="4" w:space="0" w:color="auto"/>
            </w:tcBorders>
            <w:shd w:val="clear" w:color="auto" w:fill="auto"/>
            <w:noWrap/>
            <w:vAlign w:val="bottom"/>
            <w:hideMark/>
          </w:tcPr>
          <w:p w14:paraId="78E646B7" w14:textId="77777777" w:rsidR="00CB0C4B" w:rsidRPr="00CB0C4B" w:rsidRDefault="00CB0C4B" w:rsidP="00CB0C4B">
            <w:pPr>
              <w:spacing w:after="0"/>
              <w:ind w:left="0" w:firstLine="0"/>
              <w:jc w:val="center"/>
              <w:rPr>
                <w:rFonts w:ascii="Arial" w:eastAsia="Times New Roman" w:hAnsi="Arial" w:cs="Arial"/>
                <w:sz w:val="20"/>
                <w:szCs w:val="20"/>
              </w:rPr>
            </w:pPr>
            <w:r w:rsidRPr="00CB0C4B">
              <w:rPr>
                <w:rFonts w:ascii="Arial" w:eastAsia="Times New Roman" w:hAnsi="Arial" w:cs="Arial"/>
                <w:sz w:val="20"/>
                <w:szCs w:val="20"/>
              </w:rPr>
              <w:t>3.16</w:t>
            </w:r>
          </w:p>
        </w:tc>
        <w:tc>
          <w:tcPr>
            <w:tcW w:w="918" w:type="dxa"/>
            <w:tcBorders>
              <w:top w:val="nil"/>
              <w:left w:val="nil"/>
              <w:bottom w:val="single" w:sz="4" w:space="0" w:color="auto"/>
              <w:right w:val="single" w:sz="4" w:space="0" w:color="auto"/>
            </w:tcBorders>
            <w:shd w:val="clear" w:color="auto" w:fill="auto"/>
            <w:noWrap/>
            <w:vAlign w:val="bottom"/>
            <w:hideMark/>
          </w:tcPr>
          <w:p w14:paraId="78E646B8" w14:textId="77777777" w:rsidR="00CB0C4B" w:rsidRPr="00CB0C4B" w:rsidRDefault="00CB0C4B" w:rsidP="00CB0C4B">
            <w:pPr>
              <w:spacing w:after="0"/>
              <w:ind w:left="0" w:firstLine="0"/>
              <w:jc w:val="center"/>
              <w:rPr>
                <w:rFonts w:ascii="Arial" w:eastAsia="Times New Roman" w:hAnsi="Arial" w:cs="Arial"/>
                <w:sz w:val="20"/>
                <w:szCs w:val="20"/>
              </w:rPr>
            </w:pPr>
            <w:r w:rsidRPr="00CB0C4B">
              <w:rPr>
                <w:rFonts w:ascii="Arial" w:eastAsia="Times New Roman" w:hAnsi="Arial" w:cs="Arial"/>
                <w:sz w:val="20"/>
                <w:szCs w:val="20"/>
              </w:rPr>
              <w:t> </w:t>
            </w:r>
          </w:p>
        </w:tc>
      </w:tr>
      <w:tr w:rsidR="00CB0C4B" w:rsidRPr="00CB0C4B" w14:paraId="78E646C2" w14:textId="77777777" w:rsidTr="00CB0C4B">
        <w:trPr>
          <w:trHeight w:val="255"/>
        </w:trPr>
        <w:tc>
          <w:tcPr>
            <w:tcW w:w="1350" w:type="dxa"/>
            <w:tcBorders>
              <w:top w:val="nil"/>
              <w:left w:val="single" w:sz="4" w:space="0" w:color="auto"/>
              <w:bottom w:val="single" w:sz="4" w:space="0" w:color="auto"/>
              <w:right w:val="single" w:sz="4" w:space="0" w:color="auto"/>
            </w:tcBorders>
            <w:shd w:val="clear" w:color="auto" w:fill="auto"/>
            <w:noWrap/>
            <w:vAlign w:val="bottom"/>
            <w:hideMark/>
          </w:tcPr>
          <w:p w14:paraId="78E646BA" w14:textId="77777777" w:rsidR="00CB0C4B" w:rsidRPr="00CB0C4B" w:rsidRDefault="00CB0C4B" w:rsidP="00CB0C4B">
            <w:pPr>
              <w:spacing w:after="0"/>
              <w:ind w:left="0" w:firstLine="0"/>
              <w:jc w:val="center"/>
              <w:rPr>
                <w:rFonts w:ascii="Arial" w:eastAsia="Times New Roman" w:hAnsi="Arial" w:cs="Arial"/>
                <w:sz w:val="20"/>
                <w:szCs w:val="20"/>
              </w:rPr>
            </w:pPr>
            <w:r w:rsidRPr="00CB0C4B">
              <w:rPr>
                <w:rFonts w:ascii="Arial" w:eastAsia="Times New Roman" w:hAnsi="Arial" w:cs="Arial"/>
                <w:sz w:val="20"/>
                <w:szCs w:val="20"/>
              </w:rPr>
              <w:t>28R10000</w:t>
            </w:r>
          </w:p>
        </w:tc>
        <w:tc>
          <w:tcPr>
            <w:tcW w:w="990" w:type="dxa"/>
            <w:tcBorders>
              <w:top w:val="nil"/>
              <w:left w:val="nil"/>
              <w:bottom w:val="single" w:sz="4" w:space="0" w:color="auto"/>
              <w:right w:val="single" w:sz="4" w:space="0" w:color="auto"/>
            </w:tcBorders>
            <w:shd w:val="clear" w:color="auto" w:fill="auto"/>
            <w:noWrap/>
            <w:vAlign w:val="bottom"/>
            <w:hideMark/>
          </w:tcPr>
          <w:p w14:paraId="78E646BB" w14:textId="77777777" w:rsidR="00CB0C4B" w:rsidRPr="00CB0C4B" w:rsidRDefault="00CB0C4B" w:rsidP="00CB0C4B">
            <w:pPr>
              <w:spacing w:after="0"/>
              <w:ind w:left="0" w:firstLine="0"/>
              <w:jc w:val="center"/>
              <w:rPr>
                <w:rFonts w:ascii="Arial" w:eastAsia="Times New Roman" w:hAnsi="Arial" w:cs="Arial"/>
                <w:sz w:val="20"/>
                <w:szCs w:val="20"/>
              </w:rPr>
            </w:pPr>
            <w:r w:rsidRPr="00CB0C4B">
              <w:rPr>
                <w:rFonts w:ascii="Arial" w:eastAsia="Times New Roman" w:hAnsi="Arial" w:cs="Arial"/>
                <w:sz w:val="20"/>
                <w:szCs w:val="20"/>
              </w:rPr>
              <w:t>31</w:t>
            </w:r>
          </w:p>
        </w:tc>
        <w:tc>
          <w:tcPr>
            <w:tcW w:w="1170" w:type="dxa"/>
            <w:tcBorders>
              <w:top w:val="nil"/>
              <w:left w:val="nil"/>
              <w:bottom w:val="single" w:sz="4" w:space="0" w:color="auto"/>
              <w:right w:val="single" w:sz="4" w:space="0" w:color="auto"/>
            </w:tcBorders>
            <w:shd w:val="clear" w:color="auto" w:fill="auto"/>
            <w:noWrap/>
            <w:vAlign w:val="bottom"/>
            <w:hideMark/>
          </w:tcPr>
          <w:p w14:paraId="78E646BC" w14:textId="77777777" w:rsidR="00CB0C4B" w:rsidRPr="00CB0C4B" w:rsidRDefault="00CB0C4B" w:rsidP="00CB0C4B">
            <w:pPr>
              <w:spacing w:after="0"/>
              <w:ind w:left="0" w:firstLine="0"/>
              <w:jc w:val="center"/>
              <w:rPr>
                <w:rFonts w:ascii="Arial" w:eastAsia="Times New Roman" w:hAnsi="Arial" w:cs="Arial"/>
                <w:sz w:val="20"/>
                <w:szCs w:val="20"/>
              </w:rPr>
            </w:pPr>
            <w:r w:rsidRPr="00CB0C4B">
              <w:rPr>
                <w:rFonts w:ascii="Arial" w:eastAsia="Times New Roman" w:hAnsi="Arial" w:cs="Arial"/>
                <w:sz w:val="20"/>
                <w:szCs w:val="20"/>
              </w:rPr>
              <w:t>1995.90</w:t>
            </w:r>
          </w:p>
        </w:tc>
        <w:tc>
          <w:tcPr>
            <w:tcW w:w="1080" w:type="dxa"/>
            <w:tcBorders>
              <w:top w:val="nil"/>
              <w:left w:val="nil"/>
              <w:bottom w:val="single" w:sz="4" w:space="0" w:color="auto"/>
              <w:right w:val="single" w:sz="4" w:space="0" w:color="auto"/>
            </w:tcBorders>
            <w:shd w:val="clear" w:color="auto" w:fill="auto"/>
            <w:noWrap/>
            <w:vAlign w:val="bottom"/>
            <w:hideMark/>
          </w:tcPr>
          <w:p w14:paraId="78E646BD" w14:textId="77777777" w:rsidR="00CB0C4B" w:rsidRPr="00CB0C4B" w:rsidRDefault="00CB0C4B" w:rsidP="00CB0C4B">
            <w:pPr>
              <w:spacing w:after="0"/>
              <w:ind w:left="0" w:firstLine="0"/>
              <w:jc w:val="center"/>
              <w:rPr>
                <w:rFonts w:ascii="Arial" w:eastAsia="Times New Roman" w:hAnsi="Arial" w:cs="Arial"/>
                <w:sz w:val="20"/>
                <w:szCs w:val="20"/>
              </w:rPr>
            </w:pPr>
            <w:r w:rsidRPr="00CB0C4B">
              <w:rPr>
                <w:rFonts w:ascii="Arial" w:eastAsia="Times New Roman" w:hAnsi="Arial" w:cs="Arial"/>
                <w:sz w:val="20"/>
                <w:szCs w:val="20"/>
              </w:rPr>
              <w:t>1996</w:t>
            </w:r>
          </w:p>
        </w:tc>
        <w:tc>
          <w:tcPr>
            <w:tcW w:w="1350" w:type="dxa"/>
            <w:tcBorders>
              <w:top w:val="nil"/>
              <w:left w:val="nil"/>
              <w:bottom w:val="single" w:sz="4" w:space="0" w:color="auto"/>
              <w:right w:val="single" w:sz="4" w:space="0" w:color="auto"/>
            </w:tcBorders>
            <w:shd w:val="clear" w:color="auto" w:fill="auto"/>
            <w:noWrap/>
            <w:vAlign w:val="bottom"/>
            <w:hideMark/>
          </w:tcPr>
          <w:p w14:paraId="78E646BE" w14:textId="77777777" w:rsidR="00CB0C4B" w:rsidRPr="00CB0C4B" w:rsidRDefault="00CB0C4B" w:rsidP="00CB0C4B">
            <w:pPr>
              <w:spacing w:after="0"/>
              <w:ind w:left="0" w:firstLine="0"/>
              <w:jc w:val="center"/>
              <w:rPr>
                <w:rFonts w:ascii="Arial" w:eastAsia="Times New Roman" w:hAnsi="Arial" w:cs="Arial"/>
                <w:sz w:val="20"/>
                <w:szCs w:val="20"/>
              </w:rPr>
            </w:pPr>
            <w:r w:rsidRPr="00CB0C4B">
              <w:rPr>
                <w:rFonts w:ascii="Arial" w:eastAsia="Times New Roman" w:hAnsi="Arial" w:cs="Arial"/>
                <w:sz w:val="20"/>
                <w:szCs w:val="20"/>
              </w:rPr>
              <w:t>1993</w:t>
            </w:r>
          </w:p>
        </w:tc>
        <w:tc>
          <w:tcPr>
            <w:tcW w:w="1170" w:type="dxa"/>
            <w:tcBorders>
              <w:top w:val="nil"/>
              <w:left w:val="nil"/>
              <w:bottom w:val="single" w:sz="4" w:space="0" w:color="auto"/>
              <w:right w:val="single" w:sz="4" w:space="0" w:color="auto"/>
            </w:tcBorders>
            <w:shd w:val="clear" w:color="auto" w:fill="auto"/>
            <w:noWrap/>
            <w:vAlign w:val="bottom"/>
            <w:hideMark/>
          </w:tcPr>
          <w:p w14:paraId="78E646BF" w14:textId="77777777" w:rsidR="00CB0C4B" w:rsidRPr="00CB0C4B" w:rsidRDefault="00CB0C4B" w:rsidP="00CB0C4B">
            <w:pPr>
              <w:spacing w:after="0"/>
              <w:ind w:left="0" w:firstLine="0"/>
              <w:jc w:val="center"/>
              <w:rPr>
                <w:rFonts w:ascii="Arial" w:eastAsia="Times New Roman" w:hAnsi="Arial" w:cs="Arial"/>
                <w:sz w:val="20"/>
                <w:szCs w:val="20"/>
              </w:rPr>
            </w:pPr>
            <w:r w:rsidRPr="00CB0C4B">
              <w:rPr>
                <w:rFonts w:ascii="Arial" w:eastAsia="Times New Roman" w:hAnsi="Arial" w:cs="Arial"/>
                <w:sz w:val="20"/>
                <w:szCs w:val="20"/>
              </w:rPr>
              <w:t>2007</w:t>
            </w:r>
          </w:p>
        </w:tc>
        <w:tc>
          <w:tcPr>
            <w:tcW w:w="1350" w:type="dxa"/>
            <w:tcBorders>
              <w:top w:val="nil"/>
              <w:left w:val="nil"/>
              <w:bottom w:val="single" w:sz="4" w:space="0" w:color="auto"/>
              <w:right w:val="single" w:sz="4" w:space="0" w:color="auto"/>
            </w:tcBorders>
            <w:shd w:val="clear" w:color="auto" w:fill="auto"/>
            <w:noWrap/>
            <w:vAlign w:val="bottom"/>
            <w:hideMark/>
          </w:tcPr>
          <w:p w14:paraId="78E646C0" w14:textId="77777777" w:rsidR="00CB0C4B" w:rsidRPr="00CB0C4B" w:rsidRDefault="00CB0C4B" w:rsidP="00CB0C4B">
            <w:pPr>
              <w:spacing w:after="0"/>
              <w:ind w:left="0" w:firstLine="0"/>
              <w:jc w:val="center"/>
              <w:rPr>
                <w:rFonts w:ascii="Arial" w:eastAsia="Times New Roman" w:hAnsi="Arial" w:cs="Arial"/>
                <w:sz w:val="20"/>
                <w:szCs w:val="20"/>
              </w:rPr>
            </w:pPr>
            <w:r w:rsidRPr="00CB0C4B">
              <w:rPr>
                <w:rFonts w:ascii="Arial" w:eastAsia="Times New Roman" w:hAnsi="Arial" w:cs="Arial"/>
                <w:sz w:val="20"/>
                <w:szCs w:val="20"/>
              </w:rPr>
              <w:t>3.20</w:t>
            </w:r>
          </w:p>
        </w:tc>
        <w:tc>
          <w:tcPr>
            <w:tcW w:w="918" w:type="dxa"/>
            <w:tcBorders>
              <w:top w:val="nil"/>
              <w:left w:val="nil"/>
              <w:bottom w:val="single" w:sz="4" w:space="0" w:color="auto"/>
              <w:right w:val="single" w:sz="4" w:space="0" w:color="auto"/>
            </w:tcBorders>
            <w:shd w:val="clear" w:color="auto" w:fill="auto"/>
            <w:noWrap/>
            <w:vAlign w:val="bottom"/>
            <w:hideMark/>
          </w:tcPr>
          <w:p w14:paraId="78E646C1" w14:textId="77777777" w:rsidR="00CB0C4B" w:rsidRPr="00CB0C4B" w:rsidRDefault="00CB0C4B" w:rsidP="00CB0C4B">
            <w:pPr>
              <w:spacing w:after="0"/>
              <w:ind w:left="0" w:firstLine="0"/>
              <w:jc w:val="center"/>
              <w:rPr>
                <w:rFonts w:ascii="Arial" w:eastAsia="Times New Roman" w:hAnsi="Arial" w:cs="Arial"/>
                <w:sz w:val="20"/>
                <w:szCs w:val="20"/>
              </w:rPr>
            </w:pPr>
            <w:r w:rsidRPr="00CB0C4B">
              <w:rPr>
                <w:rFonts w:ascii="Arial" w:eastAsia="Times New Roman" w:hAnsi="Arial" w:cs="Arial"/>
                <w:sz w:val="20"/>
                <w:szCs w:val="20"/>
              </w:rPr>
              <w:t> </w:t>
            </w:r>
          </w:p>
        </w:tc>
      </w:tr>
      <w:tr w:rsidR="00CB0C4B" w:rsidRPr="00CB0C4B" w14:paraId="78E646CB" w14:textId="77777777" w:rsidTr="00CB0C4B">
        <w:trPr>
          <w:trHeight w:val="255"/>
        </w:trPr>
        <w:tc>
          <w:tcPr>
            <w:tcW w:w="1350" w:type="dxa"/>
            <w:tcBorders>
              <w:top w:val="nil"/>
              <w:left w:val="single" w:sz="4" w:space="0" w:color="auto"/>
              <w:bottom w:val="single" w:sz="4" w:space="0" w:color="auto"/>
              <w:right w:val="single" w:sz="4" w:space="0" w:color="auto"/>
            </w:tcBorders>
            <w:shd w:val="clear" w:color="auto" w:fill="auto"/>
            <w:noWrap/>
            <w:vAlign w:val="bottom"/>
            <w:hideMark/>
          </w:tcPr>
          <w:p w14:paraId="78E646C3" w14:textId="77777777" w:rsidR="00CB0C4B" w:rsidRPr="00CB0C4B" w:rsidRDefault="00CB0C4B" w:rsidP="00CB0C4B">
            <w:pPr>
              <w:spacing w:after="0"/>
              <w:ind w:left="0" w:firstLine="0"/>
              <w:jc w:val="center"/>
              <w:rPr>
                <w:rFonts w:ascii="Arial" w:eastAsia="Times New Roman" w:hAnsi="Arial" w:cs="Arial"/>
                <w:sz w:val="20"/>
                <w:szCs w:val="20"/>
              </w:rPr>
            </w:pPr>
            <w:r w:rsidRPr="00CB0C4B">
              <w:rPr>
                <w:rFonts w:ascii="Arial" w:eastAsia="Times New Roman" w:hAnsi="Arial" w:cs="Arial"/>
                <w:sz w:val="20"/>
                <w:szCs w:val="20"/>
              </w:rPr>
              <w:lastRenderedPageBreak/>
              <w:t>08R30000</w:t>
            </w:r>
          </w:p>
        </w:tc>
        <w:tc>
          <w:tcPr>
            <w:tcW w:w="990" w:type="dxa"/>
            <w:tcBorders>
              <w:top w:val="nil"/>
              <w:left w:val="nil"/>
              <w:bottom w:val="single" w:sz="4" w:space="0" w:color="auto"/>
              <w:right w:val="single" w:sz="4" w:space="0" w:color="auto"/>
            </w:tcBorders>
            <w:shd w:val="clear" w:color="auto" w:fill="auto"/>
            <w:noWrap/>
            <w:vAlign w:val="bottom"/>
            <w:hideMark/>
          </w:tcPr>
          <w:p w14:paraId="78E646C4" w14:textId="77777777" w:rsidR="00CB0C4B" w:rsidRPr="00CB0C4B" w:rsidRDefault="00CB0C4B" w:rsidP="00CB0C4B">
            <w:pPr>
              <w:spacing w:after="0"/>
              <w:ind w:left="0" w:firstLine="0"/>
              <w:jc w:val="center"/>
              <w:rPr>
                <w:rFonts w:ascii="Arial" w:eastAsia="Times New Roman" w:hAnsi="Arial" w:cs="Arial"/>
                <w:sz w:val="20"/>
                <w:szCs w:val="20"/>
              </w:rPr>
            </w:pPr>
            <w:r w:rsidRPr="00CB0C4B">
              <w:rPr>
                <w:rFonts w:ascii="Arial" w:eastAsia="Times New Roman" w:hAnsi="Arial" w:cs="Arial"/>
                <w:sz w:val="20"/>
                <w:szCs w:val="20"/>
              </w:rPr>
              <w:t>12</w:t>
            </w:r>
          </w:p>
        </w:tc>
        <w:tc>
          <w:tcPr>
            <w:tcW w:w="1170" w:type="dxa"/>
            <w:tcBorders>
              <w:top w:val="nil"/>
              <w:left w:val="nil"/>
              <w:bottom w:val="single" w:sz="4" w:space="0" w:color="auto"/>
              <w:right w:val="single" w:sz="4" w:space="0" w:color="auto"/>
            </w:tcBorders>
            <w:shd w:val="clear" w:color="auto" w:fill="auto"/>
            <w:noWrap/>
            <w:vAlign w:val="bottom"/>
            <w:hideMark/>
          </w:tcPr>
          <w:p w14:paraId="78E646C5" w14:textId="77777777" w:rsidR="00CB0C4B" w:rsidRPr="00CB0C4B" w:rsidRDefault="00CB0C4B" w:rsidP="00CB0C4B">
            <w:pPr>
              <w:spacing w:after="0"/>
              <w:ind w:left="0" w:firstLine="0"/>
              <w:jc w:val="center"/>
              <w:rPr>
                <w:rFonts w:ascii="Arial" w:eastAsia="Times New Roman" w:hAnsi="Arial" w:cs="Arial"/>
                <w:sz w:val="20"/>
                <w:szCs w:val="20"/>
              </w:rPr>
            </w:pPr>
            <w:r w:rsidRPr="00CB0C4B">
              <w:rPr>
                <w:rFonts w:ascii="Arial" w:eastAsia="Times New Roman" w:hAnsi="Arial" w:cs="Arial"/>
                <w:sz w:val="20"/>
                <w:szCs w:val="20"/>
              </w:rPr>
              <w:t>2000.83</w:t>
            </w:r>
          </w:p>
        </w:tc>
        <w:tc>
          <w:tcPr>
            <w:tcW w:w="1080" w:type="dxa"/>
            <w:tcBorders>
              <w:top w:val="nil"/>
              <w:left w:val="nil"/>
              <w:bottom w:val="single" w:sz="4" w:space="0" w:color="auto"/>
              <w:right w:val="single" w:sz="4" w:space="0" w:color="auto"/>
            </w:tcBorders>
            <w:shd w:val="clear" w:color="auto" w:fill="auto"/>
            <w:noWrap/>
            <w:vAlign w:val="bottom"/>
            <w:hideMark/>
          </w:tcPr>
          <w:p w14:paraId="78E646C6" w14:textId="77777777" w:rsidR="00CB0C4B" w:rsidRPr="00CB0C4B" w:rsidRDefault="00CB0C4B" w:rsidP="00CB0C4B">
            <w:pPr>
              <w:spacing w:after="0"/>
              <w:ind w:left="0" w:firstLine="0"/>
              <w:jc w:val="center"/>
              <w:rPr>
                <w:rFonts w:ascii="Arial" w:eastAsia="Times New Roman" w:hAnsi="Arial" w:cs="Arial"/>
                <w:sz w:val="20"/>
                <w:szCs w:val="20"/>
              </w:rPr>
            </w:pPr>
            <w:r w:rsidRPr="00CB0C4B">
              <w:rPr>
                <w:rFonts w:ascii="Arial" w:eastAsia="Times New Roman" w:hAnsi="Arial" w:cs="Arial"/>
                <w:sz w:val="20"/>
                <w:szCs w:val="20"/>
              </w:rPr>
              <w:t>2000.5</w:t>
            </w:r>
          </w:p>
        </w:tc>
        <w:tc>
          <w:tcPr>
            <w:tcW w:w="1350" w:type="dxa"/>
            <w:tcBorders>
              <w:top w:val="nil"/>
              <w:left w:val="nil"/>
              <w:bottom w:val="single" w:sz="4" w:space="0" w:color="auto"/>
              <w:right w:val="single" w:sz="4" w:space="0" w:color="auto"/>
            </w:tcBorders>
            <w:shd w:val="clear" w:color="auto" w:fill="auto"/>
            <w:noWrap/>
            <w:vAlign w:val="bottom"/>
            <w:hideMark/>
          </w:tcPr>
          <w:p w14:paraId="78E646C7" w14:textId="77777777" w:rsidR="00CB0C4B" w:rsidRPr="00CB0C4B" w:rsidRDefault="00CB0C4B" w:rsidP="00CB0C4B">
            <w:pPr>
              <w:spacing w:after="0"/>
              <w:ind w:left="0" w:firstLine="0"/>
              <w:jc w:val="center"/>
              <w:rPr>
                <w:rFonts w:ascii="Arial" w:eastAsia="Times New Roman" w:hAnsi="Arial" w:cs="Arial"/>
                <w:sz w:val="20"/>
                <w:szCs w:val="20"/>
              </w:rPr>
            </w:pPr>
            <w:r w:rsidRPr="00CB0C4B">
              <w:rPr>
                <w:rFonts w:ascii="Arial" w:eastAsia="Times New Roman" w:hAnsi="Arial" w:cs="Arial"/>
                <w:sz w:val="20"/>
                <w:szCs w:val="20"/>
              </w:rPr>
              <w:t>1997</w:t>
            </w:r>
          </w:p>
        </w:tc>
        <w:tc>
          <w:tcPr>
            <w:tcW w:w="1170" w:type="dxa"/>
            <w:tcBorders>
              <w:top w:val="nil"/>
              <w:left w:val="nil"/>
              <w:bottom w:val="single" w:sz="4" w:space="0" w:color="auto"/>
              <w:right w:val="single" w:sz="4" w:space="0" w:color="auto"/>
            </w:tcBorders>
            <w:shd w:val="clear" w:color="auto" w:fill="auto"/>
            <w:noWrap/>
            <w:vAlign w:val="bottom"/>
            <w:hideMark/>
          </w:tcPr>
          <w:p w14:paraId="78E646C8" w14:textId="77777777" w:rsidR="00CB0C4B" w:rsidRPr="00CB0C4B" w:rsidRDefault="00CB0C4B" w:rsidP="00CB0C4B">
            <w:pPr>
              <w:spacing w:after="0"/>
              <w:ind w:left="0" w:firstLine="0"/>
              <w:jc w:val="center"/>
              <w:rPr>
                <w:rFonts w:ascii="Arial" w:eastAsia="Times New Roman" w:hAnsi="Arial" w:cs="Arial"/>
                <w:sz w:val="20"/>
                <w:szCs w:val="20"/>
              </w:rPr>
            </w:pPr>
            <w:r w:rsidRPr="00CB0C4B">
              <w:rPr>
                <w:rFonts w:ascii="Arial" w:eastAsia="Times New Roman" w:hAnsi="Arial" w:cs="Arial"/>
                <w:sz w:val="20"/>
                <w:szCs w:val="20"/>
              </w:rPr>
              <w:t>2006</w:t>
            </w:r>
          </w:p>
        </w:tc>
        <w:tc>
          <w:tcPr>
            <w:tcW w:w="1350" w:type="dxa"/>
            <w:tcBorders>
              <w:top w:val="nil"/>
              <w:left w:val="nil"/>
              <w:bottom w:val="single" w:sz="4" w:space="0" w:color="auto"/>
              <w:right w:val="single" w:sz="4" w:space="0" w:color="auto"/>
            </w:tcBorders>
            <w:shd w:val="clear" w:color="auto" w:fill="auto"/>
            <w:noWrap/>
            <w:vAlign w:val="bottom"/>
            <w:hideMark/>
          </w:tcPr>
          <w:p w14:paraId="78E646C9" w14:textId="77777777" w:rsidR="00CB0C4B" w:rsidRPr="00CB0C4B" w:rsidRDefault="00CB0C4B" w:rsidP="00CB0C4B">
            <w:pPr>
              <w:spacing w:after="0"/>
              <w:ind w:left="0" w:firstLine="0"/>
              <w:jc w:val="center"/>
              <w:rPr>
                <w:rFonts w:ascii="Arial" w:eastAsia="Times New Roman" w:hAnsi="Arial" w:cs="Arial"/>
                <w:sz w:val="20"/>
                <w:szCs w:val="20"/>
              </w:rPr>
            </w:pPr>
            <w:r w:rsidRPr="00CB0C4B">
              <w:rPr>
                <w:rFonts w:ascii="Arial" w:eastAsia="Times New Roman" w:hAnsi="Arial" w:cs="Arial"/>
                <w:sz w:val="20"/>
                <w:szCs w:val="20"/>
              </w:rPr>
              <w:t>3.21</w:t>
            </w:r>
          </w:p>
        </w:tc>
        <w:tc>
          <w:tcPr>
            <w:tcW w:w="918" w:type="dxa"/>
            <w:tcBorders>
              <w:top w:val="nil"/>
              <w:left w:val="nil"/>
              <w:bottom w:val="single" w:sz="4" w:space="0" w:color="auto"/>
              <w:right w:val="single" w:sz="4" w:space="0" w:color="auto"/>
            </w:tcBorders>
            <w:shd w:val="clear" w:color="auto" w:fill="auto"/>
            <w:noWrap/>
            <w:vAlign w:val="bottom"/>
            <w:hideMark/>
          </w:tcPr>
          <w:p w14:paraId="78E646CA" w14:textId="77777777" w:rsidR="00CB0C4B" w:rsidRPr="00CB0C4B" w:rsidRDefault="00CB0C4B" w:rsidP="00CB0C4B">
            <w:pPr>
              <w:spacing w:after="0"/>
              <w:ind w:left="0" w:firstLine="0"/>
              <w:jc w:val="center"/>
              <w:rPr>
                <w:rFonts w:ascii="Arial" w:eastAsia="Times New Roman" w:hAnsi="Arial" w:cs="Arial"/>
                <w:sz w:val="20"/>
                <w:szCs w:val="20"/>
              </w:rPr>
            </w:pPr>
            <w:r w:rsidRPr="00CB0C4B">
              <w:rPr>
                <w:rFonts w:ascii="Arial" w:eastAsia="Times New Roman" w:hAnsi="Arial" w:cs="Arial"/>
                <w:sz w:val="20"/>
                <w:szCs w:val="20"/>
              </w:rPr>
              <w:t> </w:t>
            </w:r>
          </w:p>
        </w:tc>
      </w:tr>
      <w:tr w:rsidR="00CB0C4B" w:rsidRPr="00CB0C4B" w14:paraId="78E646D4" w14:textId="77777777" w:rsidTr="00CB0C4B">
        <w:trPr>
          <w:trHeight w:val="255"/>
        </w:trPr>
        <w:tc>
          <w:tcPr>
            <w:tcW w:w="1350" w:type="dxa"/>
            <w:tcBorders>
              <w:top w:val="nil"/>
              <w:left w:val="single" w:sz="4" w:space="0" w:color="auto"/>
              <w:bottom w:val="single" w:sz="4" w:space="0" w:color="auto"/>
              <w:right w:val="single" w:sz="4" w:space="0" w:color="auto"/>
            </w:tcBorders>
            <w:shd w:val="clear" w:color="auto" w:fill="auto"/>
            <w:noWrap/>
            <w:vAlign w:val="bottom"/>
            <w:hideMark/>
          </w:tcPr>
          <w:p w14:paraId="78E646CC" w14:textId="77777777" w:rsidR="00CB0C4B" w:rsidRPr="00CB0C4B" w:rsidRDefault="00CB0C4B" w:rsidP="00CB0C4B">
            <w:pPr>
              <w:spacing w:after="0"/>
              <w:ind w:left="0" w:firstLine="0"/>
              <w:jc w:val="center"/>
              <w:rPr>
                <w:rFonts w:ascii="Arial" w:eastAsia="Times New Roman" w:hAnsi="Arial" w:cs="Arial"/>
                <w:sz w:val="20"/>
                <w:szCs w:val="20"/>
              </w:rPr>
            </w:pPr>
            <w:r w:rsidRPr="00CB0C4B">
              <w:rPr>
                <w:rFonts w:ascii="Arial" w:eastAsia="Times New Roman" w:hAnsi="Arial" w:cs="Arial"/>
                <w:sz w:val="20"/>
                <w:szCs w:val="20"/>
              </w:rPr>
              <w:t>16C14000</w:t>
            </w:r>
          </w:p>
        </w:tc>
        <w:tc>
          <w:tcPr>
            <w:tcW w:w="990" w:type="dxa"/>
            <w:tcBorders>
              <w:top w:val="nil"/>
              <w:left w:val="nil"/>
              <w:bottom w:val="single" w:sz="4" w:space="0" w:color="auto"/>
              <w:right w:val="single" w:sz="4" w:space="0" w:color="auto"/>
            </w:tcBorders>
            <w:shd w:val="clear" w:color="auto" w:fill="auto"/>
            <w:noWrap/>
            <w:vAlign w:val="bottom"/>
            <w:hideMark/>
          </w:tcPr>
          <w:p w14:paraId="78E646CD" w14:textId="77777777" w:rsidR="00CB0C4B" w:rsidRPr="00CB0C4B" w:rsidRDefault="00CB0C4B" w:rsidP="00CB0C4B">
            <w:pPr>
              <w:spacing w:after="0"/>
              <w:ind w:left="0" w:firstLine="0"/>
              <w:jc w:val="center"/>
              <w:rPr>
                <w:rFonts w:ascii="Arial" w:eastAsia="Times New Roman" w:hAnsi="Arial" w:cs="Arial"/>
                <w:sz w:val="20"/>
                <w:szCs w:val="20"/>
              </w:rPr>
            </w:pPr>
            <w:r w:rsidRPr="00CB0C4B">
              <w:rPr>
                <w:rFonts w:ascii="Arial" w:eastAsia="Times New Roman" w:hAnsi="Arial" w:cs="Arial"/>
                <w:sz w:val="20"/>
                <w:szCs w:val="20"/>
              </w:rPr>
              <w:t>402</w:t>
            </w:r>
          </w:p>
        </w:tc>
        <w:tc>
          <w:tcPr>
            <w:tcW w:w="1170" w:type="dxa"/>
            <w:tcBorders>
              <w:top w:val="nil"/>
              <w:left w:val="nil"/>
              <w:bottom w:val="single" w:sz="4" w:space="0" w:color="auto"/>
              <w:right w:val="single" w:sz="4" w:space="0" w:color="auto"/>
            </w:tcBorders>
            <w:shd w:val="clear" w:color="auto" w:fill="auto"/>
            <w:noWrap/>
            <w:vAlign w:val="bottom"/>
            <w:hideMark/>
          </w:tcPr>
          <w:p w14:paraId="78E646CE" w14:textId="77777777" w:rsidR="00CB0C4B" w:rsidRPr="00CB0C4B" w:rsidRDefault="00CB0C4B" w:rsidP="00CB0C4B">
            <w:pPr>
              <w:spacing w:after="0"/>
              <w:ind w:left="0" w:firstLine="0"/>
              <w:jc w:val="center"/>
              <w:rPr>
                <w:rFonts w:ascii="Arial" w:eastAsia="Times New Roman" w:hAnsi="Arial" w:cs="Arial"/>
                <w:sz w:val="20"/>
                <w:szCs w:val="20"/>
              </w:rPr>
            </w:pPr>
            <w:r w:rsidRPr="00CB0C4B">
              <w:rPr>
                <w:rFonts w:ascii="Arial" w:eastAsia="Times New Roman" w:hAnsi="Arial" w:cs="Arial"/>
                <w:sz w:val="20"/>
                <w:szCs w:val="20"/>
              </w:rPr>
              <w:t>1975.85</w:t>
            </w:r>
          </w:p>
        </w:tc>
        <w:tc>
          <w:tcPr>
            <w:tcW w:w="1080" w:type="dxa"/>
            <w:tcBorders>
              <w:top w:val="nil"/>
              <w:left w:val="nil"/>
              <w:bottom w:val="single" w:sz="4" w:space="0" w:color="auto"/>
              <w:right w:val="single" w:sz="4" w:space="0" w:color="auto"/>
            </w:tcBorders>
            <w:shd w:val="clear" w:color="auto" w:fill="auto"/>
            <w:noWrap/>
            <w:vAlign w:val="bottom"/>
            <w:hideMark/>
          </w:tcPr>
          <w:p w14:paraId="78E646CF" w14:textId="77777777" w:rsidR="00CB0C4B" w:rsidRPr="00CB0C4B" w:rsidRDefault="00CB0C4B" w:rsidP="00CB0C4B">
            <w:pPr>
              <w:spacing w:after="0"/>
              <w:ind w:left="0" w:firstLine="0"/>
              <w:jc w:val="center"/>
              <w:rPr>
                <w:rFonts w:ascii="Arial" w:eastAsia="Times New Roman" w:hAnsi="Arial" w:cs="Arial"/>
                <w:sz w:val="20"/>
                <w:szCs w:val="20"/>
              </w:rPr>
            </w:pPr>
            <w:r w:rsidRPr="00CB0C4B">
              <w:rPr>
                <w:rFonts w:ascii="Arial" w:eastAsia="Times New Roman" w:hAnsi="Arial" w:cs="Arial"/>
                <w:sz w:val="20"/>
                <w:szCs w:val="20"/>
              </w:rPr>
              <w:t>1975</w:t>
            </w:r>
          </w:p>
        </w:tc>
        <w:tc>
          <w:tcPr>
            <w:tcW w:w="1350" w:type="dxa"/>
            <w:tcBorders>
              <w:top w:val="nil"/>
              <w:left w:val="nil"/>
              <w:bottom w:val="single" w:sz="4" w:space="0" w:color="auto"/>
              <w:right w:val="single" w:sz="4" w:space="0" w:color="auto"/>
            </w:tcBorders>
            <w:shd w:val="clear" w:color="auto" w:fill="auto"/>
            <w:noWrap/>
            <w:vAlign w:val="bottom"/>
            <w:hideMark/>
          </w:tcPr>
          <w:p w14:paraId="78E646D0" w14:textId="77777777" w:rsidR="00CB0C4B" w:rsidRPr="00CB0C4B" w:rsidRDefault="00CB0C4B" w:rsidP="00CB0C4B">
            <w:pPr>
              <w:spacing w:after="0"/>
              <w:ind w:left="0" w:firstLine="0"/>
              <w:jc w:val="center"/>
              <w:rPr>
                <w:rFonts w:ascii="Arial" w:eastAsia="Times New Roman" w:hAnsi="Arial" w:cs="Arial"/>
                <w:sz w:val="20"/>
                <w:szCs w:val="20"/>
              </w:rPr>
            </w:pPr>
            <w:r w:rsidRPr="00CB0C4B">
              <w:rPr>
                <w:rFonts w:ascii="Arial" w:eastAsia="Times New Roman" w:hAnsi="Arial" w:cs="Arial"/>
                <w:sz w:val="20"/>
                <w:szCs w:val="20"/>
              </w:rPr>
              <w:t>1973</w:t>
            </w:r>
          </w:p>
        </w:tc>
        <w:tc>
          <w:tcPr>
            <w:tcW w:w="1170" w:type="dxa"/>
            <w:tcBorders>
              <w:top w:val="nil"/>
              <w:left w:val="nil"/>
              <w:bottom w:val="single" w:sz="4" w:space="0" w:color="auto"/>
              <w:right w:val="single" w:sz="4" w:space="0" w:color="auto"/>
            </w:tcBorders>
            <w:shd w:val="clear" w:color="auto" w:fill="auto"/>
            <w:noWrap/>
            <w:vAlign w:val="bottom"/>
            <w:hideMark/>
          </w:tcPr>
          <w:p w14:paraId="78E646D1" w14:textId="77777777" w:rsidR="00CB0C4B" w:rsidRPr="00CB0C4B" w:rsidRDefault="00CB0C4B" w:rsidP="00CB0C4B">
            <w:pPr>
              <w:spacing w:after="0"/>
              <w:ind w:left="0" w:firstLine="0"/>
              <w:jc w:val="center"/>
              <w:rPr>
                <w:rFonts w:ascii="Arial" w:eastAsia="Times New Roman" w:hAnsi="Arial" w:cs="Arial"/>
                <w:sz w:val="20"/>
                <w:szCs w:val="20"/>
              </w:rPr>
            </w:pPr>
            <w:r w:rsidRPr="00CB0C4B">
              <w:rPr>
                <w:rFonts w:ascii="Arial" w:eastAsia="Times New Roman" w:hAnsi="Arial" w:cs="Arial"/>
                <w:sz w:val="20"/>
                <w:szCs w:val="20"/>
              </w:rPr>
              <w:t>1989</w:t>
            </w:r>
          </w:p>
        </w:tc>
        <w:tc>
          <w:tcPr>
            <w:tcW w:w="1350" w:type="dxa"/>
            <w:tcBorders>
              <w:top w:val="nil"/>
              <w:left w:val="nil"/>
              <w:bottom w:val="single" w:sz="4" w:space="0" w:color="auto"/>
              <w:right w:val="single" w:sz="4" w:space="0" w:color="auto"/>
            </w:tcBorders>
            <w:shd w:val="clear" w:color="auto" w:fill="auto"/>
            <w:noWrap/>
            <w:vAlign w:val="bottom"/>
            <w:hideMark/>
          </w:tcPr>
          <w:p w14:paraId="78E646D2" w14:textId="77777777" w:rsidR="00CB0C4B" w:rsidRPr="00CB0C4B" w:rsidRDefault="00CB0C4B" w:rsidP="00CB0C4B">
            <w:pPr>
              <w:spacing w:after="0"/>
              <w:ind w:left="0" w:firstLine="0"/>
              <w:jc w:val="center"/>
              <w:rPr>
                <w:rFonts w:ascii="Arial" w:eastAsia="Times New Roman" w:hAnsi="Arial" w:cs="Arial"/>
                <w:sz w:val="20"/>
                <w:szCs w:val="20"/>
              </w:rPr>
            </w:pPr>
            <w:r w:rsidRPr="00CB0C4B">
              <w:rPr>
                <w:rFonts w:ascii="Arial" w:eastAsia="Times New Roman" w:hAnsi="Arial" w:cs="Arial"/>
                <w:sz w:val="20"/>
                <w:szCs w:val="20"/>
              </w:rPr>
              <w:t>3.24</w:t>
            </w:r>
          </w:p>
        </w:tc>
        <w:tc>
          <w:tcPr>
            <w:tcW w:w="918" w:type="dxa"/>
            <w:tcBorders>
              <w:top w:val="nil"/>
              <w:left w:val="nil"/>
              <w:bottom w:val="single" w:sz="4" w:space="0" w:color="auto"/>
              <w:right w:val="single" w:sz="4" w:space="0" w:color="auto"/>
            </w:tcBorders>
            <w:shd w:val="clear" w:color="auto" w:fill="auto"/>
            <w:noWrap/>
            <w:vAlign w:val="bottom"/>
            <w:hideMark/>
          </w:tcPr>
          <w:p w14:paraId="78E646D3" w14:textId="77777777" w:rsidR="00CB0C4B" w:rsidRPr="00CB0C4B" w:rsidRDefault="00CB0C4B" w:rsidP="00CB0C4B">
            <w:pPr>
              <w:spacing w:after="0"/>
              <w:ind w:left="0" w:firstLine="0"/>
              <w:jc w:val="center"/>
              <w:rPr>
                <w:rFonts w:ascii="Arial" w:eastAsia="Times New Roman" w:hAnsi="Arial" w:cs="Arial"/>
                <w:sz w:val="20"/>
                <w:szCs w:val="20"/>
              </w:rPr>
            </w:pPr>
            <w:r w:rsidRPr="00CB0C4B">
              <w:rPr>
                <w:rFonts w:ascii="Arial" w:eastAsia="Times New Roman" w:hAnsi="Arial" w:cs="Arial"/>
                <w:sz w:val="20"/>
                <w:szCs w:val="20"/>
              </w:rPr>
              <w:t> </w:t>
            </w:r>
          </w:p>
        </w:tc>
      </w:tr>
      <w:tr w:rsidR="00CB0C4B" w:rsidRPr="00CB0C4B" w14:paraId="78E646DD" w14:textId="77777777" w:rsidTr="00CB0C4B">
        <w:trPr>
          <w:trHeight w:val="255"/>
        </w:trPr>
        <w:tc>
          <w:tcPr>
            <w:tcW w:w="1350" w:type="dxa"/>
            <w:tcBorders>
              <w:top w:val="nil"/>
              <w:left w:val="single" w:sz="4" w:space="0" w:color="auto"/>
              <w:bottom w:val="single" w:sz="4" w:space="0" w:color="auto"/>
              <w:right w:val="single" w:sz="4" w:space="0" w:color="auto"/>
            </w:tcBorders>
            <w:shd w:val="clear" w:color="auto" w:fill="auto"/>
            <w:noWrap/>
            <w:vAlign w:val="bottom"/>
            <w:hideMark/>
          </w:tcPr>
          <w:p w14:paraId="78E646D5" w14:textId="77777777" w:rsidR="00CB0C4B" w:rsidRPr="00CB0C4B" w:rsidRDefault="00CB0C4B" w:rsidP="00CB0C4B">
            <w:pPr>
              <w:spacing w:after="0"/>
              <w:ind w:left="0" w:firstLine="0"/>
              <w:jc w:val="center"/>
              <w:rPr>
                <w:rFonts w:ascii="Arial" w:eastAsia="Times New Roman" w:hAnsi="Arial" w:cs="Arial"/>
                <w:sz w:val="20"/>
                <w:szCs w:val="20"/>
              </w:rPr>
            </w:pPr>
            <w:r w:rsidRPr="00CB0C4B">
              <w:rPr>
                <w:rFonts w:ascii="Arial" w:eastAsia="Times New Roman" w:hAnsi="Arial" w:cs="Arial"/>
                <w:sz w:val="20"/>
                <w:szCs w:val="20"/>
              </w:rPr>
              <w:t>08R31000</w:t>
            </w:r>
          </w:p>
        </w:tc>
        <w:tc>
          <w:tcPr>
            <w:tcW w:w="990" w:type="dxa"/>
            <w:tcBorders>
              <w:top w:val="nil"/>
              <w:left w:val="nil"/>
              <w:bottom w:val="single" w:sz="4" w:space="0" w:color="auto"/>
              <w:right w:val="single" w:sz="4" w:space="0" w:color="auto"/>
            </w:tcBorders>
            <w:shd w:val="clear" w:color="auto" w:fill="auto"/>
            <w:noWrap/>
            <w:vAlign w:val="bottom"/>
            <w:hideMark/>
          </w:tcPr>
          <w:p w14:paraId="78E646D6" w14:textId="77777777" w:rsidR="00CB0C4B" w:rsidRPr="00CB0C4B" w:rsidRDefault="00CB0C4B" w:rsidP="00CB0C4B">
            <w:pPr>
              <w:spacing w:after="0"/>
              <w:ind w:left="0" w:firstLine="0"/>
              <w:jc w:val="center"/>
              <w:rPr>
                <w:rFonts w:ascii="Arial" w:eastAsia="Times New Roman" w:hAnsi="Arial" w:cs="Arial"/>
                <w:sz w:val="20"/>
                <w:szCs w:val="20"/>
              </w:rPr>
            </w:pPr>
            <w:r w:rsidRPr="00CB0C4B">
              <w:rPr>
                <w:rFonts w:ascii="Arial" w:eastAsia="Times New Roman" w:hAnsi="Arial" w:cs="Arial"/>
                <w:sz w:val="20"/>
                <w:szCs w:val="20"/>
              </w:rPr>
              <w:t>72</w:t>
            </w:r>
          </w:p>
        </w:tc>
        <w:tc>
          <w:tcPr>
            <w:tcW w:w="1170" w:type="dxa"/>
            <w:tcBorders>
              <w:top w:val="nil"/>
              <w:left w:val="nil"/>
              <w:bottom w:val="single" w:sz="4" w:space="0" w:color="auto"/>
              <w:right w:val="single" w:sz="4" w:space="0" w:color="auto"/>
            </w:tcBorders>
            <w:shd w:val="clear" w:color="auto" w:fill="auto"/>
            <w:noWrap/>
            <w:vAlign w:val="bottom"/>
            <w:hideMark/>
          </w:tcPr>
          <w:p w14:paraId="78E646D7" w14:textId="77777777" w:rsidR="00CB0C4B" w:rsidRPr="00CB0C4B" w:rsidRDefault="00CB0C4B" w:rsidP="00CB0C4B">
            <w:pPr>
              <w:spacing w:after="0"/>
              <w:ind w:left="0" w:firstLine="0"/>
              <w:jc w:val="center"/>
              <w:rPr>
                <w:rFonts w:ascii="Arial" w:eastAsia="Times New Roman" w:hAnsi="Arial" w:cs="Arial"/>
                <w:sz w:val="20"/>
                <w:szCs w:val="20"/>
              </w:rPr>
            </w:pPr>
            <w:r w:rsidRPr="00CB0C4B">
              <w:rPr>
                <w:rFonts w:ascii="Arial" w:eastAsia="Times New Roman" w:hAnsi="Arial" w:cs="Arial"/>
                <w:sz w:val="20"/>
                <w:szCs w:val="20"/>
              </w:rPr>
              <w:t>1999.13</w:t>
            </w:r>
          </w:p>
        </w:tc>
        <w:tc>
          <w:tcPr>
            <w:tcW w:w="1080" w:type="dxa"/>
            <w:tcBorders>
              <w:top w:val="nil"/>
              <w:left w:val="nil"/>
              <w:bottom w:val="single" w:sz="4" w:space="0" w:color="auto"/>
              <w:right w:val="single" w:sz="4" w:space="0" w:color="auto"/>
            </w:tcBorders>
            <w:shd w:val="clear" w:color="auto" w:fill="auto"/>
            <w:noWrap/>
            <w:vAlign w:val="bottom"/>
            <w:hideMark/>
          </w:tcPr>
          <w:p w14:paraId="78E646D8" w14:textId="77777777" w:rsidR="00CB0C4B" w:rsidRPr="00CB0C4B" w:rsidRDefault="00CB0C4B" w:rsidP="00CB0C4B">
            <w:pPr>
              <w:spacing w:after="0"/>
              <w:ind w:left="0" w:firstLine="0"/>
              <w:jc w:val="center"/>
              <w:rPr>
                <w:rFonts w:ascii="Arial" w:eastAsia="Times New Roman" w:hAnsi="Arial" w:cs="Arial"/>
                <w:sz w:val="20"/>
                <w:szCs w:val="20"/>
              </w:rPr>
            </w:pPr>
            <w:r w:rsidRPr="00CB0C4B">
              <w:rPr>
                <w:rFonts w:ascii="Arial" w:eastAsia="Times New Roman" w:hAnsi="Arial" w:cs="Arial"/>
                <w:sz w:val="20"/>
                <w:szCs w:val="20"/>
              </w:rPr>
              <w:t>1999</w:t>
            </w:r>
          </w:p>
        </w:tc>
        <w:tc>
          <w:tcPr>
            <w:tcW w:w="1350" w:type="dxa"/>
            <w:tcBorders>
              <w:top w:val="nil"/>
              <w:left w:val="nil"/>
              <w:bottom w:val="single" w:sz="4" w:space="0" w:color="auto"/>
              <w:right w:val="single" w:sz="4" w:space="0" w:color="auto"/>
            </w:tcBorders>
            <w:shd w:val="clear" w:color="auto" w:fill="auto"/>
            <w:noWrap/>
            <w:vAlign w:val="bottom"/>
            <w:hideMark/>
          </w:tcPr>
          <w:p w14:paraId="78E646D9" w14:textId="77777777" w:rsidR="00CB0C4B" w:rsidRPr="00CB0C4B" w:rsidRDefault="00CB0C4B" w:rsidP="00CB0C4B">
            <w:pPr>
              <w:spacing w:after="0"/>
              <w:ind w:left="0" w:firstLine="0"/>
              <w:jc w:val="center"/>
              <w:rPr>
                <w:rFonts w:ascii="Arial" w:eastAsia="Times New Roman" w:hAnsi="Arial" w:cs="Arial"/>
                <w:sz w:val="20"/>
                <w:szCs w:val="20"/>
              </w:rPr>
            </w:pPr>
            <w:r w:rsidRPr="00CB0C4B">
              <w:rPr>
                <w:rFonts w:ascii="Arial" w:eastAsia="Times New Roman" w:hAnsi="Arial" w:cs="Arial"/>
                <w:sz w:val="20"/>
                <w:szCs w:val="20"/>
              </w:rPr>
              <w:t>1993</w:t>
            </w:r>
          </w:p>
        </w:tc>
        <w:tc>
          <w:tcPr>
            <w:tcW w:w="1170" w:type="dxa"/>
            <w:tcBorders>
              <w:top w:val="nil"/>
              <w:left w:val="nil"/>
              <w:bottom w:val="single" w:sz="4" w:space="0" w:color="auto"/>
              <w:right w:val="single" w:sz="4" w:space="0" w:color="auto"/>
            </w:tcBorders>
            <w:shd w:val="clear" w:color="auto" w:fill="auto"/>
            <w:noWrap/>
            <w:vAlign w:val="bottom"/>
            <w:hideMark/>
          </w:tcPr>
          <w:p w14:paraId="78E646DA" w14:textId="77777777" w:rsidR="00CB0C4B" w:rsidRPr="00CB0C4B" w:rsidRDefault="00CB0C4B" w:rsidP="00CB0C4B">
            <w:pPr>
              <w:spacing w:after="0"/>
              <w:ind w:left="0" w:firstLine="0"/>
              <w:jc w:val="center"/>
              <w:rPr>
                <w:rFonts w:ascii="Arial" w:eastAsia="Times New Roman" w:hAnsi="Arial" w:cs="Arial"/>
                <w:sz w:val="20"/>
                <w:szCs w:val="20"/>
              </w:rPr>
            </w:pPr>
            <w:r w:rsidRPr="00CB0C4B">
              <w:rPr>
                <w:rFonts w:ascii="Arial" w:eastAsia="Times New Roman" w:hAnsi="Arial" w:cs="Arial"/>
                <w:sz w:val="20"/>
                <w:szCs w:val="20"/>
              </w:rPr>
              <w:t>2005</w:t>
            </w:r>
          </w:p>
        </w:tc>
        <w:tc>
          <w:tcPr>
            <w:tcW w:w="1350" w:type="dxa"/>
            <w:tcBorders>
              <w:top w:val="nil"/>
              <w:left w:val="nil"/>
              <w:bottom w:val="single" w:sz="4" w:space="0" w:color="auto"/>
              <w:right w:val="single" w:sz="4" w:space="0" w:color="auto"/>
            </w:tcBorders>
            <w:shd w:val="clear" w:color="auto" w:fill="auto"/>
            <w:noWrap/>
            <w:vAlign w:val="bottom"/>
            <w:hideMark/>
          </w:tcPr>
          <w:p w14:paraId="78E646DB" w14:textId="77777777" w:rsidR="00CB0C4B" w:rsidRPr="00CB0C4B" w:rsidRDefault="00CB0C4B" w:rsidP="00CB0C4B">
            <w:pPr>
              <w:spacing w:after="0"/>
              <w:ind w:left="0" w:firstLine="0"/>
              <w:jc w:val="center"/>
              <w:rPr>
                <w:rFonts w:ascii="Arial" w:eastAsia="Times New Roman" w:hAnsi="Arial" w:cs="Arial"/>
                <w:sz w:val="20"/>
                <w:szCs w:val="20"/>
              </w:rPr>
            </w:pPr>
            <w:r w:rsidRPr="00CB0C4B">
              <w:rPr>
                <w:rFonts w:ascii="Arial" w:eastAsia="Times New Roman" w:hAnsi="Arial" w:cs="Arial"/>
                <w:sz w:val="20"/>
                <w:szCs w:val="20"/>
              </w:rPr>
              <w:t>3.26</w:t>
            </w:r>
          </w:p>
        </w:tc>
        <w:tc>
          <w:tcPr>
            <w:tcW w:w="918" w:type="dxa"/>
            <w:tcBorders>
              <w:top w:val="nil"/>
              <w:left w:val="nil"/>
              <w:bottom w:val="single" w:sz="4" w:space="0" w:color="auto"/>
              <w:right w:val="single" w:sz="4" w:space="0" w:color="auto"/>
            </w:tcBorders>
            <w:shd w:val="clear" w:color="auto" w:fill="auto"/>
            <w:noWrap/>
            <w:vAlign w:val="bottom"/>
            <w:hideMark/>
          </w:tcPr>
          <w:p w14:paraId="78E646DC" w14:textId="77777777" w:rsidR="00CB0C4B" w:rsidRPr="00CB0C4B" w:rsidRDefault="00CB0C4B" w:rsidP="00CB0C4B">
            <w:pPr>
              <w:spacing w:after="0"/>
              <w:ind w:left="0" w:firstLine="0"/>
              <w:jc w:val="center"/>
              <w:rPr>
                <w:rFonts w:ascii="Arial" w:eastAsia="Times New Roman" w:hAnsi="Arial" w:cs="Arial"/>
                <w:sz w:val="20"/>
                <w:szCs w:val="20"/>
              </w:rPr>
            </w:pPr>
            <w:r w:rsidRPr="00CB0C4B">
              <w:rPr>
                <w:rFonts w:ascii="Arial" w:eastAsia="Times New Roman" w:hAnsi="Arial" w:cs="Arial"/>
                <w:sz w:val="20"/>
                <w:szCs w:val="20"/>
              </w:rPr>
              <w:t> </w:t>
            </w:r>
          </w:p>
        </w:tc>
      </w:tr>
      <w:tr w:rsidR="00CB0C4B" w:rsidRPr="00CB0C4B" w14:paraId="78E646E6" w14:textId="77777777" w:rsidTr="00CB0C4B">
        <w:trPr>
          <w:trHeight w:val="255"/>
        </w:trPr>
        <w:tc>
          <w:tcPr>
            <w:tcW w:w="1350" w:type="dxa"/>
            <w:tcBorders>
              <w:top w:val="nil"/>
              <w:left w:val="single" w:sz="4" w:space="0" w:color="auto"/>
              <w:bottom w:val="single" w:sz="4" w:space="0" w:color="auto"/>
              <w:right w:val="single" w:sz="4" w:space="0" w:color="auto"/>
            </w:tcBorders>
            <w:shd w:val="clear" w:color="auto" w:fill="auto"/>
            <w:noWrap/>
            <w:vAlign w:val="bottom"/>
            <w:hideMark/>
          </w:tcPr>
          <w:p w14:paraId="78E646DE" w14:textId="77777777" w:rsidR="00CB0C4B" w:rsidRPr="00CB0C4B" w:rsidRDefault="00CB0C4B" w:rsidP="00CB0C4B">
            <w:pPr>
              <w:spacing w:after="0"/>
              <w:ind w:left="0" w:firstLine="0"/>
              <w:jc w:val="center"/>
              <w:rPr>
                <w:rFonts w:ascii="Arial" w:eastAsia="Times New Roman" w:hAnsi="Arial" w:cs="Arial"/>
                <w:sz w:val="20"/>
                <w:szCs w:val="20"/>
              </w:rPr>
            </w:pPr>
            <w:r w:rsidRPr="00CB0C4B">
              <w:rPr>
                <w:rFonts w:ascii="Arial" w:eastAsia="Times New Roman" w:hAnsi="Arial" w:cs="Arial"/>
                <w:sz w:val="20"/>
                <w:szCs w:val="20"/>
              </w:rPr>
              <w:t>20R11000</w:t>
            </w:r>
          </w:p>
        </w:tc>
        <w:tc>
          <w:tcPr>
            <w:tcW w:w="990" w:type="dxa"/>
            <w:tcBorders>
              <w:top w:val="nil"/>
              <w:left w:val="nil"/>
              <w:bottom w:val="single" w:sz="4" w:space="0" w:color="auto"/>
              <w:right w:val="single" w:sz="4" w:space="0" w:color="auto"/>
            </w:tcBorders>
            <w:shd w:val="clear" w:color="auto" w:fill="auto"/>
            <w:noWrap/>
            <w:vAlign w:val="bottom"/>
            <w:hideMark/>
          </w:tcPr>
          <w:p w14:paraId="78E646DF" w14:textId="77777777" w:rsidR="00CB0C4B" w:rsidRPr="00CB0C4B" w:rsidRDefault="00CB0C4B" w:rsidP="00CB0C4B">
            <w:pPr>
              <w:spacing w:after="0"/>
              <w:ind w:left="0" w:firstLine="0"/>
              <w:jc w:val="center"/>
              <w:rPr>
                <w:rFonts w:ascii="Arial" w:eastAsia="Times New Roman" w:hAnsi="Arial" w:cs="Arial"/>
                <w:sz w:val="20"/>
                <w:szCs w:val="20"/>
              </w:rPr>
            </w:pPr>
            <w:r w:rsidRPr="00CB0C4B">
              <w:rPr>
                <w:rFonts w:ascii="Arial" w:eastAsia="Times New Roman" w:hAnsi="Arial" w:cs="Arial"/>
                <w:sz w:val="20"/>
                <w:szCs w:val="20"/>
              </w:rPr>
              <w:t>35</w:t>
            </w:r>
          </w:p>
        </w:tc>
        <w:tc>
          <w:tcPr>
            <w:tcW w:w="1170" w:type="dxa"/>
            <w:tcBorders>
              <w:top w:val="nil"/>
              <w:left w:val="nil"/>
              <w:bottom w:val="single" w:sz="4" w:space="0" w:color="auto"/>
              <w:right w:val="single" w:sz="4" w:space="0" w:color="auto"/>
            </w:tcBorders>
            <w:shd w:val="clear" w:color="auto" w:fill="auto"/>
            <w:noWrap/>
            <w:vAlign w:val="bottom"/>
            <w:hideMark/>
          </w:tcPr>
          <w:p w14:paraId="78E646E0" w14:textId="77777777" w:rsidR="00CB0C4B" w:rsidRPr="00CB0C4B" w:rsidRDefault="00CB0C4B" w:rsidP="00CB0C4B">
            <w:pPr>
              <w:spacing w:after="0"/>
              <w:ind w:left="0" w:firstLine="0"/>
              <w:jc w:val="center"/>
              <w:rPr>
                <w:rFonts w:ascii="Arial" w:eastAsia="Times New Roman" w:hAnsi="Arial" w:cs="Arial"/>
                <w:sz w:val="20"/>
                <w:szCs w:val="20"/>
              </w:rPr>
            </w:pPr>
            <w:r w:rsidRPr="00CB0C4B">
              <w:rPr>
                <w:rFonts w:ascii="Arial" w:eastAsia="Times New Roman" w:hAnsi="Arial" w:cs="Arial"/>
                <w:sz w:val="20"/>
                <w:szCs w:val="20"/>
              </w:rPr>
              <w:t>1995.54</w:t>
            </w:r>
          </w:p>
        </w:tc>
        <w:tc>
          <w:tcPr>
            <w:tcW w:w="1080" w:type="dxa"/>
            <w:tcBorders>
              <w:top w:val="nil"/>
              <w:left w:val="nil"/>
              <w:bottom w:val="single" w:sz="4" w:space="0" w:color="auto"/>
              <w:right w:val="single" w:sz="4" w:space="0" w:color="auto"/>
            </w:tcBorders>
            <w:shd w:val="clear" w:color="auto" w:fill="auto"/>
            <w:noWrap/>
            <w:vAlign w:val="bottom"/>
            <w:hideMark/>
          </w:tcPr>
          <w:p w14:paraId="78E646E1" w14:textId="77777777" w:rsidR="00CB0C4B" w:rsidRPr="00CB0C4B" w:rsidRDefault="00CB0C4B" w:rsidP="00CB0C4B">
            <w:pPr>
              <w:spacing w:after="0"/>
              <w:ind w:left="0" w:firstLine="0"/>
              <w:jc w:val="center"/>
              <w:rPr>
                <w:rFonts w:ascii="Arial" w:eastAsia="Times New Roman" w:hAnsi="Arial" w:cs="Arial"/>
                <w:sz w:val="20"/>
                <w:szCs w:val="20"/>
              </w:rPr>
            </w:pPr>
            <w:r w:rsidRPr="00CB0C4B">
              <w:rPr>
                <w:rFonts w:ascii="Arial" w:eastAsia="Times New Roman" w:hAnsi="Arial" w:cs="Arial"/>
                <w:sz w:val="20"/>
                <w:szCs w:val="20"/>
              </w:rPr>
              <w:t>1994</w:t>
            </w:r>
          </w:p>
        </w:tc>
        <w:tc>
          <w:tcPr>
            <w:tcW w:w="1350" w:type="dxa"/>
            <w:tcBorders>
              <w:top w:val="nil"/>
              <w:left w:val="nil"/>
              <w:bottom w:val="single" w:sz="4" w:space="0" w:color="auto"/>
              <w:right w:val="single" w:sz="4" w:space="0" w:color="auto"/>
            </w:tcBorders>
            <w:shd w:val="clear" w:color="auto" w:fill="auto"/>
            <w:noWrap/>
            <w:vAlign w:val="bottom"/>
            <w:hideMark/>
          </w:tcPr>
          <w:p w14:paraId="78E646E2" w14:textId="77777777" w:rsidR="00CB0C4B" w:rsidRPr="00CB0C4B" w:rsidRDefault="00CB0C4B" w:rsidP="00CB0C4B">
            <w:pPr>
              <w:spacing w:after="0"/>
              <w:ind w:left="0" w:firstLine="0"/>
              <w:jc w:val="center"/>
              <w:rPr>
                <w:rFonts w:ascii="Arial" w:eastAsia="Times New Roman" w:hAnsi="Arial" w:cs="Arial"/>
                <w:sz w:val="20"/>
                <w:szCs w:val="20"/>
              </w:rPr>
            </w:pPr>
            <w:r w:rsidRPr="00CB0C4B">
              <w:rPr>
                <w:rFonts w:ascii="Arial" w:eastAsia="Times New Roman" w:hAnsi="Arial" w:cs="Arial"/>
                <w:sz w:val="20"/>
                <w:szCs w:val="20"/>
              </w:rPr>
              <w:t>1991</w:t>
            </w:r>
          </w:p>
        </w:tc>
        <w:tc>
          <w:tcPr>
            <w:tcW w:w="1170" w:type="dxa"/>
            <w:tcBorders>
              <w:top w:val="nil"/>
              <w:left w:val="nil"/>
              <w:bottom w:val="single" w:sz="4" w:space="0" w:color="auto"/>
              <w:right w:val="single" w:sz="4" w:space="0" w:color="auto"/>
            </w:tcBorders>
            <w:shd w:val="clear" w:color="auto" w:fill="auto"/>
            <w:noWrap/>
            <w:vAlign w:val="bottom"/>
            <w:hideMark/>
          </w:tcPr>
          <w:p w14:paraId="78E646E3" w14:textId="77777777" w:rsidR="00CB0C4B" w:rsidRPr="00CB0C4B" w:rsidRDefault="00CB0C4B" w:rsidP="00CB0C4B">
            <w:pPr>
              <w:spacing w:after="0"/>
              <w:ind w:left="0" w:firstLine="0"/>
              <w:jc w:val="center"/>
              <w:rPr>
                <w:rFonts w:ascii="Arial" w:eastAsia="Times New Roman" w:hAnsi="Arial" w:cs="Arial"/>
                <w:sz w:val="20"/>
                <w:szCs w:val="20"/>
              </w:rPr>
            </w:pPr>
            <w:r w:rsidRPr="00CB0C4B">
              <w:rPr>
                <w:rFonts w:ascii="Arial" w:eastAsia="Times New Roman" w:hAnsi="Arial" w:cs="Arial"/>
                <w:sz w:val="20"/>
                <w:szCs w:val="20"/>
              </w:rPr>
              <w:t>2004</w:t>
            </w:r>
          </w:p>
        </w:tc>
        <w:tc>
          <w:tcPr>
            <w:tcW w:w="1350" w:type="dxa"/>
            <w:tcBorders>
              <w:top w:val="nil"/>
              <w:left w:val="nil"/>
              <w:bottom w:val="single" w:sz="4" w:space="0" w:color="auto"/>
              <w:right w:val="single" w:sz="4" w:space="0" w:color="auto"/>
            </w:tcBorders>
            <w:shd w:val="clear" w:color="auto" w:fill="auto"/>
            <w:noWrap/>
            <w:vAlign w:val="bottom"/>
            <w:hideMark/>
          </w:tcPr>
          <w:p w14:paraId="78E646E4" w14:textId="77777777" w:rsidR="00CB0C4B" w:rsidRPr="00CB0C4B" w:rsidRDefault="00CB0C4B" w:rsidP="00CB0C4B">
            <w:pPr>
              <w:spacing w:after="0"/>
              <w:ind w:left="0" w:firstLine="0"/>
              <w:jc w:val="center"/>
              <w:rPr>
                <w:rFonts w:ascii="Arial" w:eastAsia="Times New Roman" w:hAnsi="Arial" w:cs="Arial"/>
                <w:sz w:val="20"/>
                <w:szCs w:val="20"/>
              </w:rPr>
            </w:pPr>
            <w:r w:rsidRPr="00CB0C4B">
              <w:rPr>
                <w:rFonts w:ascii="Arial" w:eastAsia="Times New Roman" w:hAnsi="Arial" w:cs="Arial"/>
                <w:sz w:val="20"/>
                <w:szCs w:val="20"/>
              </w:rPr>
              <w:t>3.30</w:t>
            </w:r>
          </w:p>
        </w:tc>
        <w:tc>
          <w:tcPr>
            <w:tcW w:w="918" w:type="dxa"/>
            <w:tcBorders>
              <w:top w:val="nil"/>
              <w:left w:val="nil"/>
              <w:bottom w:val="single" w:sz="4" w:space="0" w:color="auto"/>
              <w:right w:val="single" w:sz="4" w:space="0" w:color="auto"/>
            </w:tcBorders>
            <w:shd w:val="clear" w:color="auto" w:fill="auto"/>
            <w:noWrap/>
            <w:vAlign w:val="bottom"/>
            <w:hideMark/>
          </w:tcPr>
          <w:p w14:paraId="78E646E5" w14:textId="77777777" w:rsidR="00CB0C4B" w:rsidRPr="00CB0C4B" w:rsidRDefault="00CB0C4B" w:rsidP="00CB0C4B">
            <w:pPr>
              <w:spacing w:after="0"/>
              <w:ind w:left="0" w:firstLine="0"/>
              <w:jc w:val="center"/>
              <w:rPr>
                <w:rFonts w:ascii="Arial" w:eastAsia="Times New Roman" w:hAnsi="Arial" w:cs="Arial"/>
                <w:sz w:val="20"/>
                <w:szCs w:val="20"/>
              </w:rPr>
            </w:pPr>
            <w:r w:rsidRPr="00CB0C4B">
              <w:rPr>
                <w:rFonts w:ascii="Arial" w:eastAsia="Times New Roman" w:hAnsi="Arial" w:cs="Arial"/>
                <w:sz w:val="20"/>
                <w:szCs w:val="20"/>
              </w:rPr>
              <w:t> </w:t>
            </w:r>
          </w:p>
        </w:tc>
      </w:tr>
      <w:tr w:rsidR="00CB0C4B" w:rsidRPr="00CB0C4B" w14:paraId="78E646EF" w14:textId="77777777" w:rsidTr="00CB0C4B">
        <w:trPr>
          <w:trHeight w:val="255"/>
        </w:trPr>
        <w:tc>
          <w:tcPr>
            <w:tcW w:w="1350" w:type="dxa"/>
            <w:tcBorders>
              <w:top w:val="nil"/>
              <w:left w:val="single" w:sz="4" w:space="0" w:color="auto"/>
              <w:bottom w:val="single" w:sz="4" w:space="0" w:color="auto"/>
              <w:right w:val="single" w:sz="4" w:space="0" w:color="auto"/>
            </w:tcBorders>
            <w:shd w:val="clear" w:color="auto" w:fill="auto"/>
            <w:noWrap/>
            <w:vAlign w:val="bottom"/>
            <w:hideMark/>
          </w:tcPr>
          <w:p w14:paraId="78E646E7" w14:textId="77777777" w:rsidR="00CB0C4B" w:rsidRPr="00CB0C4B" w:rsidRDefault="00CB0C4B" w:rsidP="00CB0C4B">
            <w:pPr>
              <w:spacing w:after="0"/>
              <w:ind w:left="0" w:firstLine="0"/>
              <w:jc w:val="center"/>
              <w:rPr>
                <w:rFonts w:ascii="Arial" w:eastAsia="Times New Roman" w:hAnsi="Arial" w:cs="Arial"/>
                <w:sz w:val="20"/>
                <w:szCs w:val="20"/>
              </w:rPr>
            </w:pPr>
            <w:r w:rsidRPr="00CB0C4B">
              <w:rPr>
                <w:rFonts w:ascii="Arial" w:eastAsia="Times New Roman" w:hAnsi="Arial" w:cs="Arial"/>
                <w:sz w:val="20"/>
                <w:szCs w:val="20"/>
              </w:rPr>
              <w:t> </w:t>
            </w:r>
          </w:p>
        </w:tc>
        <w:tc>
          <w:tcPr>
            <w:tcW w:w="990" w:type="dxa"/>
            <w:tcBorders>
              <w:top w:val="nil"/>
              <w:left w:val="nil"/>
              <w:bottom w:val="single" w:sz="4" w:space="0" w:color="auto"/>
              <w:right w:val="single" w:sz="4" w:space="0" w:color="auto"/>
            </w:tcBorders>
            <w:shd w:val="clear" w:color="auto" w:fill="auto"/>
            <w:noWrap/>
            <w:vAlign w:val="bottom"/>
            <w:hideMark/>
          </w:tcPr>
          <w:p w14:paraId="78E646E8" w14:textId="77777777" w:rsidR="00CB0C4B" w:rsidRPr="00CB0C4B" w:rsidRDefault="00CB0C4B" w:rsidP="00CB0C4B">
            <w:pPr>
              <w:spacing w:after="0"/>
              <w:ind w:left="0" w:firstLine="0"/>
              <w:jc w:val="center"/>
              <w:rPr>
                <w:rFonts w:ascii="Arial" w:eastAsia="Times New Roman" w:hAnsi="Arial" w:cs="Arial"/>
                <w:sz w:val="20"/>
                <w:szCs w:val="20"/>
              </w:rPr>
            </w:pPr>
            <w:r w:rsidRPr="00CB0C4B">
              <w:rPr>
                <w:rFonts w:ascii="Arial" w:eastAsia="Times New Roman" w:hAnsi="Arial" w:cs="Arial"/>
                <w:sz w:val="20"/>
                <w:szCs w:val="20"/>
              </w:rPr>
              <w:t> </w:t>
            </w:r>
          </w:p>
        </w:tc>
        <w:tc>
          <w:tcPr>
            <w:tcW w:w="1170" w:type="dxa"/>
            <w:tcBorders>
              <w:top w:val="nil"/>
              <w:left w:val="nil"/>
              <w:bottom w:val="single" w:sz="4" w:space="0" w:color="auto"/>
              <w:right w:val="single" w:sz="4" w:space="0" w:color="auto"/>
            </w:tcBorders>
            <w:shd w:val="clear" w:color="auto" w:fill="auto"/>
            <w:noWrap/>
            <w:vAlign w:val="bottom"/>
            <w:hideMark/>
          </w:tcPr>
          <w:p w14:paraId="78E646E9" w14:textId="77777777" w:rsidR="00CB0C4B" w:rsidRPr="00CB0C4B" w:rsidRDefault="00CB0C4B" w:rsidP="00CB0C4B">
            <w:pPr>
              <w:spacing w:after="0"/>
              <w:ind w:left="0" w:firstLine="0"/>
              <w:jc w:val="center"/>
              <w:rPr>
                <w:rFonts w:ascii="Arial" w:eastAsia="Times New Roman" w:hAnsi="Arial" w:cs="Arial"/>
                <w:sz w:val="20"/>
                <w:szCs w:val="20"/>
              </w:rPr>
            </w:pPr>
            <w:r w:rsidRPr="00CB0C4B">
              <w:rPr>
                <w:rFonts w:ascii="Arial" w:eastAsia="Times New Roman" w:hAnsi="Arial" w:cs="Arial"/>
                <w:sz w:val="20"/>
                <w:szCs w:val="20"/>
              </w:rPr>
              <w:t> </w:t>
            </w:r>
          </w:p>
        </w:tc>
        <w:tc>
          <w:tcPr>
            <w:tcW w:w="1080" w:type="dxa"/>
            <w:tcBorders>
              <w:top w:val="nil"/>
              <w:left w:val="nil"/>
              <w:bottom w:val="single" w:sz="4" w:space="0" w:color="auto"/>
              <w:right w:val="single" w:sz="4" w:space="0" w:color="auto"/>
            </w:tcBorders>
            <w:shd w:val="clear" w:color="auto" w:fill="auto"/>
            <w:noWrap/>
            <w:vAlign w:val="bottom"/>
            <w:hideMark/>
          </w:tcPr>
          <w:p w14:paraId="78E646EA" w14:textId="77777777" w:rsidR="00CB0C4B" w:rsidRPr="00CB0C4B" w:rsidRDefault="00CB0C4B" w:rsidP="00CB0C4B">
            <w:pPr>
              <w:spacing w:after="0"/>
              <w:ind w:left="0" w:firstLine="0"/>
              <w:jc w:val="center"/>
              <w:rPr>
                <w:rFonts w:ascii="Arial" w:eastAsia="Times New Roman" w:hAnsi="Arial" w:cs="Arial"/>
                <w:sz w:val="20"/>
                <w:szCs w:val="20"/>
              </w:rPr>
            </w:pPr>
            <w:r w:rsidRPr="00CB0C4B">
              <w:rPr>
                <w:rFonts w:ascii="Arial" w:eastAsia="Times New Roman" w:hAnsi="Arial" w:cs="Arial"/>
                <w:sz w:val="20"/>
                <w:szCs w:val="20"/>
              </w:rPr>
              <w:t> </w:t>
            </w:r>
          </w:p>
        </w:tc>
        <w:tc>
          <w:tcPr>
            <w:tcW w:w="1350" w:type="dxa"/>
            <w:tcBorders>
              <w:top w:val="nil"/>
              <w:left w:val="nil"/>
              <w:bottom w:val="single" w:sz="4" w:space="0" w:color="auto"/>
              <w:right w:val="single" w:sz="4" w:space="0" w:color="auto"/>
            </w:tcBorders>
            <w:shd w:val="clear" w:color="auto" w:fill="auto"/>
            <w:noWrap/>
            <w:vAlign w:val="bottom"/>
            <w:hideMark/>
          </w:tcPr>
          <w:p w14:paraId="78E646EB" w14:textId="77777777" w:rsidR="00CB0C4B" w:rsidRPr="00CB0C4B" w:rsidRDefault="00CB0C4B" w:rsidP="00CB0C4B">
            <w:pPr>
              <w:spacing w:after="0"/>
              <w:ind w:left="0" w:firstLine="0"/>
              <w:jc w:val="center"/>
              <w:rPr>
                <w:rFonts w:ascii="Arial" w:eastAsia="Times New Roman" w:hAnsi="Arial" w:cs="Arial"/>
                <w:sz w:val="20"/>
                <w:szCs w:val="20"/>
              </w:rPr>
            </w:pPr>
            <w:r w:rsidRPr="00CB0C4B">
              <w:rPr>
                <w:rFonts w:ascii="Arial" w:eastAsia="Times New Roman" w:hAnsi="Arial" w:cs="Arial"/>
                <w:sz w:val="20"/>
                <w:szCs w:val="20"/>
              </w:rPr>
              <w:t> </w:t>
            </w:r>
          </w:p>
        </w:tc>
        <w:tc>
          <w:tcPr>
            <w:tcW w:w="1170" w:type="dxa"/>
            <w:tcBorders>
              <w:top w:val="nil"/>
              <w:left w:val="nil"/>
              <w:bottom w:val="single" w:sz="4" w:space="0" w:color="auto"/>
              <w:right w:val="single" w:sz="4" w:space="0" w:color="auto"/>
            </w:tcBorders>
            <w:shd w:val="clear" w:color="auto" w:fill="auto"/>
            <w:noWrap/>
            <w:vAlign w:val="bottom"/>
            <w:hideMark/>
          </w:tcPr>
          <w:p w14:paraId="78E646EC" w14:textId="77777777" w:rsidR="00CB0C4B" w:rsidRPr="00CB0C4B" w:rsidRDefault="00CB0C4B" w:rsidP="00CB0C4B">
            <w:pPr>
              <w:spacing w:after="0"/>
              <w:ind w:left="0" w:firstLine="0"/>
              <w:jc w:val="center"/>
              <w:rPr>
                <w:rFonts w:ascii="Arial" w:eastAsia="Times New Roman" w:hAnsi="Arial" w:cs="Arial"/>
                <w:sz w:val="20"/>
                <w:szCs w:val="20"/>
              </w:rPr>
            </w:pPr>
            <w:r w:rsidRPr="00CB0C4B">
              <w:rPr>
                <w:rFonts w:ascii="Arial" w:eastAsia="Times New Roman" w:hAnsi="Arial" w:cs="Arial"/>
                <w:sz w:val="20"/>
                <w:szCs w:val="20"/>
              </w:rPr>
              <w:t> </w:t>
            </w:r>
          </w:p>
        </w:tc>
        <w:tc>
          <w:tcPr>
            <w:tcW w:w="1350" w:type="dxa"/>
            <w:tcBorders>
              <w:top w:val="nil"/>
              <w:left w:val="nil"/>
              <w:bottom w:val="single" w:sz="4" w:space="0" w:color="auto"/>
              <w:right w:val="single" w:sz="4" w:space="0" w:color="auto"/>
            </w:tcBorders>
            <w:shd w:val="clear" w:color="auto" w:fill="auto"/>
            <w:noWrap/>
            <w:vAlign w:val="bottom"/>
            <w:hideMark/>
          </w:tcPr>
          <w:p w14:paraId="78E646ED" w14:textId="77777777" w:rsidR="00CB0C4B" w:rsidRPr="00CB0C4B" w:rsidRDefault="00CB0C4B" w:rsidP="00CB0C4B">
            <w:pPr>
              <w:spacing w:after="0"/>
              <w:ind w:left="0" w:firstLine="0"/>
              <w:jc w:val="center"/>
              <w:rPr>
                <w:rFonts w:ascii="Arial" w:eastAsia="Times New Roman" w:hAnsi="Arial" w:cs="Arial"/>
                <w:sz w:val="20"/>
                <w:szCs w:val="20"/>
              </w:rPr>
            </w:pPr>
            <w:r w:rsidRPr="00CB0C4B">
              <w:rPr>
                <w:rFonts w:ascii="Arial" w:eastAsia="Times New Roman" w:hAnsi="Arial" w:cs="Arial"/>
                <w:sz w:val="20"/>
                <w:szCs w:val="20"/>
              </w:rPr>
              <w:t> </w:t>
            </w:r>
          </w:p>
        </w:tc>
        <w:tc>
          <w:tcPr>
            <w:tcW w:w="918" w:type="dxa"/>
            <w:tcBorders>
              <w:top w:val="nil"/>
              <w:left w:val="nil"/>
              <w:bottom w:val="single" w:sz="4" w:space="0" w:color="auto"/>
              <w:right w:val="single" w:sz="4" w:space="0" w:color="auto"/>
            </w:tcBorders>
            <w:shd w:val="clear" w:color="auto" w:fill="auto"/>
            <w:noWrap/>
            <w:vAlign w:val="bottom"/>
            <w:hideMark/>
          </w:tcPr>
          <w:p w14:paraId="78E646EE" w14:textId="77777777" w:rsidR="00CB0C4B" w:rsidRPr="00CB0C4B" w:rsidRDefault="00CB0C4B" w:rsidP="00CB0C4B">
            <w:pPr>
              <w:spacing w:after="0"/>
              <w:ind w:left="0" w:firstLine="0"/>
              <w:jc w:val="center"/>
              <w:rPr>
                <w:rFonts w:ascii="Arial" w:eastAsia="Times New Roman" w:hAnsi="Arial" w:cs="Arial"/>
                <w:sz w:val="20"/>
                <w:szCs w:val="20"/>
              </w:rPr>
            </w:pPr>
            <w:r w:rsidRPr="00CB0C4B">
              <w:rPr>
                <w:rFonts w:ascii="Arial" w:eastAsia="Times New Roman" w:hAnsi="Arial" w:cs="Arial"/>
                <w:sz w:val="20"/>
                <w:szCs w:val="20"/>
              </w:rPr>
              <w:t> </w:t>
            </w:r>
          </w:p>
        </w:tc>
      </w:tr>
      <w:tr w:rsidR="00CB0C4B" w:rsidRPr="00CB0C4B" w14:paraId="78E646F8" w14:textId="77777777" w:rsidTr="00CB0C4B">
        <w:trPr>
          <w:trHeight w:val="255"/>
        </w:trPr>
        <w:tc>
          <w:tcPr>
            <w:tcW w:w="1350" w:type="dxa"/>
            <w:tcBorders>
              <w:top w:val="nil"/>
              <w:left w:val="single" w:sz="4" w:space="0" w:color="auto"/>
              <w:bottom w:val="single" w:sz="4" w:space="0" w:color="auto"/>
              <w:right w:val="single" w:sz="4" w:space="0" w:color="auto"/>
            </w:tcBorders>
            <w:shd w:val="clear" w:color="auto" w:fill="auto"/>
            <w:noWrap/>
            <w:vAlign w:val="bottom"/>
            <w:hideMark/>
          </w:tcPr>
          <w:p w14:paraId="78E646F0" w14:textId="77777777" w:rsidR="00CB0C4B" w:rsidRPr="00CB0C4B" w:rsidRDefault="00CB0C4B" w:rsidP="00CB0C4B">
            <w:pPr>
              <w:spacing w:after="0"/>
              <w:ind w:left="0" w:firstLine="0"/>
              <w:jc w:val="center"/>
              <w:rPr>
                <w:rFonts w:ascii="Arial" w:eastAsia="Times New Roman" w:hAnsi="Arial" w:cs="Arial"/>
                <w:sz w:val="20"/>
                <w:szCs w:val="20"/>
              </w:rPr>
            </w:pPr>
            <w:r w:rsidRPr="00CB0C4B">
              <w:rPr>
                <w:rFonts w:ascii="Arial" w:eastAsia="Times New Roman" w:hAnsi="Arial" w:cs="Arial"/>
                <w:sz w:val="20"/>
                <w:szCs w:val="20"/>
              </w:rPr>
              <w:t> </w:t>
            </w:r>
          </w:p>
        </w:tc>
        <w:tc>
          <w:tcPr>
            <w:tcW w:w="990" w:type="dxa"/>
            <w:tcBorders>
              <w:top w:val="nil"/>
              <w:left w:val="nil"/>
              <w:bottom w:val="single" w:sz="4" w:space="0" w:color="auto"/>
              <w:right w:val="single" w:sz="4" w:space="0" w:color="auto"/>
            </w:tcBorders>
            <w:shd w:val="clear" w:color="auto" w:fill="auto"/>
            <w:noWrap/>
            <w:vAlign w:val="bottom"/>
            <w:hideMark/>
          </w:tcPr>
          <w:p w14:paraId="78E646F1" w14:textId="77777777" w:rsidR="00CB0C4B" w:rsidRPr="00CB0C4B" w:rsidRDefault="00CB0C4B" w:rsidP="00CB0C4B">
            <w:pPr>
              <w:spacing w:after="0"/>
              <w:ind w:left="0" w:firstLine="0"/>
              <w:jc w:val="center"/>
              <w:rPr>
                <w:rFonts w:ascii="Arial" w:eastAsia="Times New Roman" w:hAnsi="Arial" w:cs="Arial"/>
                <w:sz w:val="20"/>
                <w:szCs w:val="20"/>
              </w:rPr>
            </w:pPr>
            <w:r w:rsidRPr="00CB0C4B">
              <w:rPr>
                <w:rFonts w:ascii="Arial" w:eastAsia="Times New Roman" w:hAnsi="Arial" w:cs="Arial"/>
                <w:sz w:val="20"/>
                <w:szCs w:val="20"/>
              </w:rPr>
              <w:t> </w:t>
            </w:r>
          </w:p>
        </w:tc>
        <w:tc>
          <w:tcPr>
            <w:tcW w:w="1170" w:type="dxa"/>
            <w:tcBorders>
              <w:top w:val="nil"/>
              <w:left w:val="nil"/>
              <w:bottom w:val="single" w:sz="4" w:space="0" w:color="auto"/>
              <w:right w:val="single" w:sz="4" w:space="0" w:color="auto"/>
            </w:tcBorders>
            <w:shd w:val="clear" w:color="auto" w:fill="auto"/>
            <w:noWrap/>
            <w:vAlign w:val="bottom"/>
            <w:hideMark/>
          </w:tcPr>
          <w:p w14:paraId="78E646F2" w14:textId="77777777" w:rsidR="00CB0C4B" w:rsidRPr="00CB0C4B" w:rsidRDefault="00CB0C4B" w:rsidP="00CB0C4B">
            <w:pPr>
              <w:spacing w:after="0"/>
              <w:ind w:left="0" w:firstLine="0"/>
              <w:jc w:val="center"/>
              <w:rPr>
                <w:rFonts w:ascii="Arial" w:eastAsia="Times New Roman" w:hAnsi="Arial" w:cs="Arial"/>
                <w:sz w:val="20"/>
                <w:szCs w:val="20"/>
              </w:rPr>
            </w:pPr>
            <w:r w:rsidRPr="00CB0C4B">
              <w:rPr>
                <w:rFonts w:ascii="Arial" w:eastAsia="Times New Roman" w:hAnsi="Arial" w:cs="Arial"/>
                <w:sz w:val="20"/>
                <w:szCs w:val="20"/>
              </w:rPr>
              <w:t> </w:t>
            </w:r>
          </w:p>
        </w:tc>
        <w:tc>
          <w:tcPr>
            <w:tcW w:w="1080" w:type="dxa"/>
            <w:tcBorders>
              <w:top w:val="nil"/>
              <w:left w:val="nil"/>
              <w:bottom w:val="single" w:sz="4" w:space="0" w:color="auto"/>
              <w:right w:val="single" w:sz="4" w:space="0" w:color="auto"/>
            </w:tcBorders>
            <w:shd w:val="clear" w:color="auto" w:fill="auto"/>
            <w:noWrap/>
            <w:vAlign w:val="bottom"/>
            <w:hideMark/>
          </w:tcPr>
          <w:p w14:paraId="78E646F3" w14:textId="77777777" w:rsidR="00CB0C4B" w:rsidRPr="00CB0C4B" w:rsidRDefault="00CB0C4B" w:rsidP="00CB0C4B">
            <w:pPr>
              <w:spacing w:after="0"/>
              <w:ind w:left="0" w:firstLine="0"/>
              <w:jc w:val="center"/>
              <w:rPr>
                <w:rFonts w:ascii="Arial" w:eastAsia="Times New Roman" w:hAnsi="Arial" w:cs="Arial"/>
                <w:sz w:val="20"/>
                <w:szCs w:val="20"/>
              </w:rPr>
            </w:pPr>
            <w:r w:rsidRPr="00CB0C4B">
              <w:rPr>
                <w:rFonts w:ascii="Arial" w:eastAsia="Times New Roman" w:hAnsi="Arial" w:cs="Arial"/>
                <w:sz w:val="20"/>
                <w:szCs w:val="20"/>
              </w:rPr>
              <w:t> </w:t>
            </w:r>
          </w:p>
        </w:tc>
        <w:tc>
          <w:tcPr>
            <w:tcW w:w="1350" w:type="dxa"/>
            <w:tcBorders>
              <w:top w:val="nil"/>
              <w:left w:val="nil"/>
              <w:bottom w:val="single" w:sz="4" w:space="0" w:color="auto"/>
              <w:right w:val="single" w:sz="4" w:space="0" w:color="auto"/>
            </w:tcBorders>
            <w:shd w:val="clear" w:color="auto" w:fill="auto"/>
            <w:noWrap/>
            <w:vAlign w:val="bottom"/>
            <w:hideMark/>
          </w:tcPr>
          <w:p w14:paraId="78E646F4" w14:textId="77777777" w:rsidR="00CB0C4B" w:rsidRPr="00CB0C4B" w:rsidRDefault="00CB0C4B" w:rsidP="00CB0C4B">
            <w:pPr>
              <w:spacing w:after="0"/>
              <w:ind w:left="0" w:firstLine="0"/>
              <w:jc w:val="center"/>
              <w:rPr>
                <w:rFonts w:ascii="Arial" w:eastAsia="Times New Roman" w:hAnsi="Arial" w:cs="Arial"/>
                <w:sz w:val="20"/>
                <w:szCs w:val="20"/>
              </w:rPr>
            </w:pPr>
            <w:r w:rsidRPr="00CB0C4B">
              <w:rPr>
                <w:rFonts w:ascii="Arial" w:eastAsia="Times New Roman" w:hAnsi="Arial" w:cs="Arial"/>
                <w:sz w:val="20"/>
                <w:szCs w:val="20"/>
              </w:rPr>
              <w:t> </w:t>
            </w:r>
          </w:p>
        </w:tc>
        <w:tc>
          <w:tcPr>
            <w:tcW w:w="1170" w:type="dxa"/>
            <w:tcBorders>
              <w:top w:val="nil"/>
              <w:left w:val="nil"/>
              <w:bottom w:val="single" w:sz="4" w:space="0" w:color="auto"/>
              <w:right w:val="single" w:sz="4" w:space="0" w:color="auto"/>
            </w:tcBorders>
            <w:shd w:val="clear" w:color="auto" w:fill="auto"/>
            <w:noWrap/>
            <w:vAlign w:val="bottom"/>
            <w:hideMark/>
          </w:tcPr>
          <w:p w14:paraId="78E646F5" w14:textId="77777777" w:rsidR="00CB0C4B" w:rsidRPr="00CB0C4B" w:rsidRDefault="00CB0C4B" w:rsidP="00CB0C4B">
            <w:pPr>
              <w:spacing w:after="0"/>
              <w:ind w:left="0" w:firstLine="0"/>
              <w:jc w:val="center"/>
              <w:rPr>
                <w:rFonts w:ascii="Arial" w:eastAsia="Times New Roman" w:hAnsi="Arial" w:cs="Arial"/>
                <w:sz w:val="20"/>
                <w:szCs w:val="20"/>
              </w:rPr>
            </w:pPr>
            <w:r w:rsidRPr="00CB0C4B">
              <w:rPr>
                <w:rFonts w:ascii="Arial" w:eastAsia="Times New Roman" w:hAnsi="Arial" w:cs="Arial"/>
                <w:sz w:val="20"/>
                <w:szCs w:val="20"/>
              </w:rPr>
              <w:t> </w:t>
            </w:r>
          </w:p>
        </w:tc>
        <w:tc>
          <w:tcPr>
            <w:tcW w:w="1350" w:type="dxa"/>
            <w:tcBorders>
              <w:top w:val="nil"/>
              <w:left w:val="nil"/>
              <w:bottom w:val="single" w:sz="4" w:space="0" w:color="auto"/>
              <w:right w:val="single" w:sz="4" w:space="0" w:color="auto"/>
            </w:tcBorders>
            <w:shd w:val="clear" w:color="auto" w:fill="auto"/>
            <w:noWrap/>
            <w:vAlign w:val="bottom"/>
            <w:hideMark/>
          </w:tcPr>
          <w:p w14:paraId="78E646F6" w14:textId="77777777" w:rsidR="00CB0C4B" w:rsidRPr="00CB0C4B" w:rsidRDefault="00CB0C4B" w:rsidP="00CB0C4B">
            <w:pPr>
              <w:spacing w:after="0"/>
              <w:ind w:left="0" w:firstLine="0"/>
              <w:jc w:val="center"/>
              <w:rPr>
                <w:rFonts w:ascii="Arial" w:eastAsia="Times New Roman" w:hAnsi="Arial" w:cs="Arial"/>
                <w:sz w:val="20"/>
                <w:szCs w:val="20"/>
              </w:rPr>
            </w:pPr>
            <w:r w:rsidRPr="00CB0C4B">
              <w:rPr>
                <w:rFonts w:ascii="Arial" w:eastAsia="Times New Roman" w:hAnsi="Arial" w:cs="Arial"/>
                <w:sz w:val="20"/>
                <w:szCs w:val="20"/>
              </w:rPr>
              <w:t> </w:t>
            </w:r>
          </w:p>
        </w:tc>
        <w:tc>
          <w:tcPr>
            <w:tcW w:w="918" w:type="dxa"/>
            <w:tcBorders>
              <w:top w:val="nil"/>
              <w:left w:val="nil"/>
              <w:bottom w:val="single" w:sz="4" w:space="0" w:color="auto"/>
              <w:right w:val="single" w:sz="4" w:space="0" w:color="auto"/>
            </w:tcBorders>
            <w:shd w:val="clear" w:color="auto" w:fill="auto"/>
            <w:noWrap/>
            <w:vAlign w:val="bottom"/>
            <w:hideMark/>
          </w:tcPr>
          <w:p w14:paraId="78E646F7" w14:textId="77777777" w:rsidR="00CB0C4B" w:rsidRPr="00CB0C4B" w:rsidRDefault="00CB0C4B" w:rsidP="00CB0C4B">
            <w:pPr>
              <w:spacing w:after="0"/>
              <w:ind w:left="0" w:firstLine="0"/>
              <w:jc w:val="center"/>
              <w:rPr>
                <w:rFonts w:ascii="Arial" w:eastAsia="Times New Roman" w:hAnsi="Arial" w:cs="Arial"/>
                <w:sz w:val="20"/>
                <w:szCs w:val="20"/>
              </w:rPr>
            </w:pPr>
            <w:r w:rsidRPr="00CB0C4B">
              <w:rPr>
                <w:rFonts w:ascii="Arial" w:eastAsia="Times New Roman" w:hAnsi="Arial" w:cs="Arial"/>
                <w:sz w:val="20"/>
                <w:szCs w:val="20"/>
              </w:rPr>
              <w:t> </w:t>
            </w:r>
          </w:p>
        </w:tc>
      </w:tr>
    </w:tbl>
    <w:p w14:paraId="78E646F9" w14:textId="77777777" w:rsidR="00CB0C4B" w:rsidRDefault="00CB0C4B" w:rsidP="00C13D3B">
      <w:pPr>
        <w:spacing w:after="100" w:afterAutospacing="1"/>
        <w:ind w:left="1080" w:hanging="360"/>
        <w:jc w:val="left"/>
        <w:rPr>
          <w:rFonts w:ascii="Century Gothic" w:hAnsi="Century Gothic"/>
          <w:b/>
        </w:rPr>
      </w:pPr>
    </w:p>
    <w:p w14:paraId="78E646FA" w14:textId="77777777" w:rsidR="00182664" w:rsidRPr="00182664" w:rsidRDefault="00CB0C4B" w:rsidP="00C13D3B">
      <w:pPr>
        <w:spacing w:after="100" w:afterAutospacing="1"/>
        <w:ind w:left="1008" w:hanging="288"/>
        <w:jc w:val="left"/>
        <w:rPr>
          <w:rFonts w:ascii="Century Gothic" w:hAnsi="Century Gothic"/>
        </w:rPr>
      </w:pPr>
      <w:r>
        <w:rPr>
          <w:rFonts w:ascii="Century Gothic" w:hAnsi="Century Gothic"/>
        </w:rPr>
        <w:tab/>
      </w:r>
      <w:r w:rsidR="00C13D3B">
        <w:rPr>
          <w:rFonts w:ascii="Century Gothic" w:hAnsi="Century Gothic"/>
        </w:rPr>
        <w:t>Using</w:t>
      </w:r>
      <w:r w:rsidR="004F475E">
        <w:rPr>
          <w:rFonts w:ascii="Century Gothic" w:hAnsi="Century Gothic"/>
        </w:rPr>
        <w:t xml:space="preserve"> a program</w:t>
      </w:r>
      <w:r w:rsidR="00CA2357">
        <w:rPr>
          <w:rFonts w:ascii="Century Gothic" w:hAnsi="Century Gothic"/>
        </w:rPr>
        <w:t>,</w:t>
      </w:r>
      <w:r w:rsidR="004F475E">
        <w:rPr>
          <w:rFonts w:ascii="Century Gothic" w:hAnsi="Century Gothic"/>
        </w:rPr>
        <w:t xml:space="preserve"> like </w:t>
      </w:r>
      <w:r w:rsidR="00DB07AF">
        <w:rPr>
          <w:rFonts w:ascii="Century Gothic" w:hAnsi="Century Gothic"/>
        </w:rPr>
        <w:t>SPSS or NCSS</w:t>
      </w:r>
      <w:r w:rsidR="00CA2357">
        <w:rPr>
          <w:rFonts w:ascii="Century Gothic" w:hAnsi="Century Gothic"/>
        </w:rPr>
        <w:t>,</w:t>
      </w:r>
      <w:r w:rsidR="00C13D3B">
        <w:rPr>
          <w:rFonts w:ascii="Century Gothic" w:hAnsi="Century Gothic"/>
        </w:rPr>
        <w:t xml:space="preserve"> </w:t>
      </w:r>
      <w:r w:rsidR="004F475E">
        <w:rPr>
          <w:rFonts w:ascii="Century Gothic" w:hAnsi="Century Gothic"/>
        </w:rPr>
        <w:t>can help generate</w:t>
      </w:r>
      <w:r w:rsidR="00182664">
        <w:rPr>
          <w:rFonts w:ascii="Century Gothic" w:hAnsi="Century Gothic"/>
        </w:rPr>
        <w:t xml:space="preserve"> a variety of reports that can be run to help in verifying boundaries.  The </w:t>
      </w:r>
      <w:r w:rsidR="00182664" w:rsidRPr="00182664">
        <w:rPr>
          <w:rFonts w:ascii="Century Gothic" w:hAnsi="Century Gothic"/>
        </w:rPr>
        <w:t>histogram below shows the fr</w:t>
      </w:r>
      <w:r>
        <w:rPr>
          <w:rFonts w:ascii="Century Gothic" w:hAnsi="Century Gothic"/>
        </w:rPr>
        <w:t>equency of dwelling year built graphically.</w:t>
      </w:r>
      <w:r w:rsidR="00182664" w:rsidRPr="00182664">
        <w:rPr>
          <w:rFonts w:ascii="Century Gothic" w:hAnsi="Century Gothic"/>
        </w:rPr>
        <w:t xml:space="preserve"> If this is run within each neighborhood it may show the level of homogeneity within that neighborhood and whether it is necessary to make additional changes.</w:t>
      </w:r>
    </w:p>
    <w:p w14:paraId="78E646FB" w14:textId="77777777" w:rsidR="00182664" w:rsidRDefault="00DB07AF" w:rsidP="00182664">
      <w:pPr>
        <w:tabs>
          <w:tab w:val="left" w:pos="2160"/>
        </w:tabs>
        <w:ind w:firstLine="0"/>
        <w:rPr>
          <w:noProof/>
        </w:rPr>
      </w:pPr>
      <w:r>
        <w:rPr>
          <w:noProof/>
        </w:rPr>
        <w:drawing>
          <wp:inline distT="0" distB="0" distL="0" distR="0" wp14:anchorId="78E6475C" wp14:editId="78E6475D">
            <wp:extent cx="4038600" cy="32194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038600" cy="3219450"/>
                    </a:xfrm>
                    <a:prstGeom prst="rect">
                      <a:avLst/>
                    </a:prstGeom>
                    <a:noFill/>
                    <a:ln>
                      <a:noFill/>
                    </a:ln>
                  </pic:spPr>
                </pic:pic>
              </a:graphicData>
            </a:graphic>
          </wp:inline>
        </w:drawing>
      </w:r>
    </w:p>
    <w:p w14:paraId="78E646FC" w14:textId="77777777" w:rsidR="00182664" w:rsidRDefault="00182664" w:rsidP="00182664">
      <w:pPr>
        <w:tabs>
          <w:tab w:val="left" w:pos="2160"/>
        </w:tabs>
        <w:ind w:firstLine="0"/>
      </w:pPr>
    </w:p>
    <w:p w14:paraId="78E646FD" w14:textId="77777777" w:rsidR="001C586A" w:rsidRDefault="001C586A" w:rsidP="00100668">
      <w:pPr>
        <w:tabs>
          <w:tab w:val="left" w:pos="2160"/>
        </w:tabs>
        <w:ind w:left="1152" w:firstLine="0"/>
        <w:rPr>
          <w:rFonts w:ascii="Century Gothic" w:hAnsi="Century Gothic"/>
        </w:rPr>
      </w:pPr>
      <w:r>
        <w:rPr>
          <w:rFonts w:ascii="Century Gothic" w:hAnsi="Century Gothic"/>
        </w:rPr>
        <w:lastRenderedPageBreak/>
        <w:t>Similar reports should be run for grade, CDU, size, sales price and so on.</w:t>
      </w:r>
    </w:p>
    <w:p w14:paraId="78E646FE" w14:textId="77777777" w:rsidR="00182664" w:rsidRDefault="00182664" w:rsidP="00100668">
      <w:pPr>
        <w:tabs>
          <w:tab w:val="left" w:pos="2160"/>
        </w:tabs>
        <w:ind w:left="1152" w:firstLine="0"/>
        <w:rPr>
          <w:rFonts w:ascii="Century Gothic" w:hAnsi="Century Gothic"/>
        </w:rPr>
      </w:pPr>
      <w:r w:rsidRPr="00182664">
        <w:rPr>
          <w:rFonts w:ascii="Century Gothic" w:hAnsi="Century Gothic"/>
        </w:rPr>
        <w:t>This data becomes helpful for comparable sales selection in market modeling.  An example is included below of a neighborhood with possible bimodal distribution based on year built and may indicate a need to divide this neighborhood into two distinct neighborhoods.</w:t>
      </w:r>
    </w:p>
    <w:p w14:paraId="78E646FF" w14:textId="77777777" w:rsidR="00100668" w:rsidRDefault="00DB07AF" w:rsidP="00100668">
      <w:pPr>
        <w:keepNext/>
        <w:tabs>
          <w:tab w:val="left" w:pos="2160"/>
        </w:tabs>
        <w:ind w:firstLine="0"/>
        <w:rPr>
          <w:rFonts w:ascii="Arial" w:hAnsi="Arial" w:cs="Arial"/>
          <w:noProof/>
          <w:sz w:val="14"/>
          <w:szCs w:val="14"/>
        </w:rPr>
      </w:pPr>
      <w:r>
        <w:rPr>
          <w:rFonts w:ascii="Arial" w:hAnsi="Arial" w:cs="Arial"/>
          <w:noProof/>
          <w:sz w:val="14"/>
          <w:szCs w:val="14"/>
        </w:rPr>
        <w:drawing>
          <wp:inline distT="0" distB="0" distL="0" distR="0" wp14:anchorId="78E6475E" wp14:editId="78E6475F">
            <wp:extent cx="4781550" cy="250507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781550" cy="2505075"/>
                    </a:xfrm>
                    <a:prstGeom prst="rect">
                      <a:avLst/>
                    </a:prstGeom>
                    <a:noFill/>
                    <a:ln>
                      <a:noFill/>
                    </a:ln>
                  </pic:spPr>
                </pic:pic>
              </a:graphicData>
            </a:graphic>
          </wp:inline>
        </w:drawing>
      </w:r>
    </w:p>
    <w:p w14:paraId="78E64700" w14:textId="77777777" w:rsidR="00182664" w:rsidRDefault="001C586A" w:rsidP="00100668">
      <w:pPr>
        <w:keepNext/>
        <w:tabs>
          <w:tab w:val="left" w:pos="2160"/>
        </w:tabs>
        <w:ind w:left="1152" w:firstLine="0"/>
        <w:rPr>
          <w:rFonts w:ascii="Century Gothic" w:hAnsi="Century Gothic"/>
        </w:rPr>
      </w:pPr>
      <w:r>
        <w:rPr>
          <w:rFonts w:ascii="Century Gothic" w:hAnsi="Century Gothic"/>
        </w:rPr>
        <w:t>A</w:t>
      </w:r>
      <w:r w:rsidR="00182664" w:rsidRPr="001C586A">
        <w:rPr>
          <w:rFonts w:ascii="Century Gothic" w:hAnsi="Century Gothic"/>
        </w:rPr>
        <w:t xml:space="preserve"> statistical </w:t>
      </w:r>
      <w:r w:rsidR="00C13D3B">
        <w:rPr>
          <w:rFonts w:ascii="Century Gothic" w:hAnsi="Century Gothic"/>
        </w:rPr>
        <w:t xml:space="preserve">profile for each neighborhood should </w:t>
      </w:r>
      <w:r w:rsidR="00182664" w:rsidRPr="001C586A">
        <w:rPr>
          <w:rFonts w:ascii="Century Gothic" w:hAnsi="Century Gothic"/>
        </w:rPr>
        <w:t xml:space="preserve">be generated including frequency distribution and relevant statistics for data characteristics.  Examples include year built, SFLA, grade, CDU, median/mean value, median/mean selling price, medium/mean land size and style </w:t>
      </w:r>
      <w:r w:rsidR="00C13D3B">
        <w:rPr>
          <w:rFonts w:ascii="Century Gothic" w:hAnsi="Century Gothic"/>
        </w:rPr>
        <w:t xml:space="preserve">organized by neighborhood.  One </w:t>
      </w:r>
      <w:r>
        <w:rPr>
          <w:rFonts w:ascii="Century Gothic" w:hAnsi="Century Gothic"/>
        </w:rPr>
        <w:t>n</w:t>
      </w:r>
      <w:r w:rsidR="00C13D3B">
        <w:rPr>
          <w:rFonts w:ascii="Century Gothic" w:hAnsi="Century Gothic"/>
        </w:rPr>
        <w:t>eighborhood profile sheet should</w:t>
      </w:r>
      <w:r w:rsidR="00182664" w:rsidRPr="001C586A">
        <w:rPr>
          <w:rFonts w:ascii="Century Gothic" w:hAnsi="Century Gothic"/>
        </w:rPr>
        <w:t xml:space="preserve"> be cre</w:t>
      </w:r>
      <w:r w:rsidR="00C13D3B">
        <w:rPr>
          <w:rFonts w:ascii="Century Gothic" w:hAnsi="Century Gothic"/>
        </w:rPr>
        <w:t>ated for each neighborhood and should</w:t>
      </w:r>
      <w:r w:rsidR="00182664" w:rsidRPr="001C586A">
        <w:rPr>
          <w:rFonts w:ascii="Century Gothic" w:hAnsi="Century Gothic"/>
        </w:rPr>
        <w:t xml:space="preserve"> contain all the relevant </w:t>
      </w:r>
      <w:r w:rsidR="00182664" w:rsidRPr="001C586A">
        <w:rPr>
          <w:rFonts w:ascii="Century Gothic" w:hAnsi="Century Gothic"/>
        </w:rPr>
        <w:lastRenderedPageBreak/>
        <w:t xml:space="preserve">data needed for that neighborhood.  </w:t>
      </w:r>
      <w:r w:rsidR="00F22F7D">
        <w:rPr>
          <w:rFonts w:ascii="Century Gothic" w:hAnsi="Century Gothic"/>
        </w:rPr>
        <w:t>An example is included below.</w:t>
      </w:r>
    </w:p>
    <w:p w14:paraId="78E64701" w14:textId="77777777" w:rsidR="009B488A" w:rsidRDefault="00DB07AF" w:rsidP="00100668">
      <w:pPr>
        <w:keepNext/>
        <w:tabs>
          <w:tab w:val="left" w:pos="2160"/>
        </w:tabs>
        <w:ind w:left="1152" w:firstLine="0"/>
        <w:rPr>
          <w:rFonts w:ascii="Century Gothic" w:hAnsi="Century Gothic"/>
        </w:rPr>
      </w:pPr>
      <w:r>
        <w:rPr>
          <w:rFonts w:ascii="Century Gothic" w:hAnsi="Century Gothic"/>
          <w:noProof/>
        </w:rPr>
        <w:drawing>
          <wp:inline distT="0" distB="0" distL="0" distR="0" wp14:anchorId="78E64760" wp14:editId="78E64761">
            <wp:extent cx="5676900" cy="20574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676900" cy="2057400"/>
                    </a:xfrm>
                    <a:prstGeom prst="rect">
                      <a:avLst/>
                    </a:prstGeom>
                    <a:noFill/>
                    <a:ln>
                      <a:noFill/>
                    </a:ln>
                  </pic:spPr>
                </pic:pic>
              </a:graphicData>
            </a:graphic>
          </wp:inline>
        </w:drawing>
      </w:r>
    </w:p>
    <w:p w14:paraId="78E64702" w14:textId="77777777" w:rsidR="00182664" w:rsidRPr="00182664" w:rsidRDefault="00182664" w:rsidP="00182664">
      <w:pPr>
        <w:numPr>
          <w:ilvl w:val="0"/>
          <w:numId w:val="3"/>
        </w:numPr>
        <w:jc w:val="left"/>
        <w:rPr>
          <w:rFonts w:ascii="Century Gothic" w:hAnsi="Century Gothic"/>
        </w:rPr>
      </w:pPr>
      <w:r w:rsidRPr="00182664">
        <w:rPr>
          <w:rFonts w:ascii="Century Gothic" w:hAnsi="Century Gothic"/>
        </w:rPr>
        <w:t>Establish final boundaries</w:t>
      </w:r>
    </w:p>
    <w:p w14:paraId="78E64703" w14:textId="77777777" w:rsidR="00182664" w:rsidRDefault="00182664" w:rsidP="00182664">
      <w:pPr>
        <w:numPr>
          <w:ilvl w:val="0"/>
          <w:numId w:val="3"/>
        </w:numPr>
        <w:rPr>
          <w:rFonts w:ascii="Century Gothic" w:hAnsi="Century Gothic"/>
        </w:rPr>
      </w:pPr>
      <w:r>
        <w:rPr>
          <w:rFonts w:ascii="Century Gothic" w:hAnsi="Century Gothic"/>
        </w:rPr>
        <w:t>Group neighborhoods to allow for wider selection of comp sales</w:t>
      </w:r>
    </w:p>
    <w:p w14:paraId="78E64704" w14:textId="77777777" w:rsidR="00182664" w:rsidRDefault="00182664" w:rsidP="00182664">
      <w:pPr>
        <w:numPr>
          <w:ilvl w:val="0"/>
          <w:numId w:val="3"/>
        </w:numPr>
        <w:rPr>
          <w:rFonts w:ascii="Century Gothic" w:hAnsi="Century Gothic"/>
        </w:rPr>
      </w:pPr>
      <w:r>
        <w:rPr>
          <w:rFonts w:ascii="Century Gothic" w:hAnsi="Century Gothic"/>
        </w:rPr>
        <w:t>Summarize, collate and distribute forms</w:t>
      </w:r>
    </w:p>
    <w:p w14:paraId="78E64705" w14:textId="77777777" w:rsidR="001704A8" w:rsidRDefault="001704A8" w:rsidP="004D2C28">
      <w:pPr>
        <w:pStyle w:val="Heading2"/>
      </w:pPr>
      <w:bookmarkStart w:id="11" w:name="_Toc395526923"/>
      <w:r w:rsidRPr="001356FA">
        <w:t>Commercial (including industrial and apartment) Delineation</w:t>
      </w:r>
      <w:bookmarkEnd w:id="11"/>
    </w:p>
    <w:p w14:paraId="78E64706" w14:textId="77777777" w:rsidR="001704A8" w:rsidRDefault="001704A8" w:rsidP="001704A8">
      <w:pPr>
        <w:spacing w:line="320" w:lineRule="atLeast"/>
        <w:ind w:left="0" w:firstLine="0"/>
        <w:jc w:val="left"/>
        <w:rPr>
          <w:rFonts w:ascii="Century Gothic" w:hAnsi="Century Gothic"/>
          <w:b/>
        </w:rPr>
      </w:pPr>
      <w:r>
        <w:rPr>
          <w:rFonts w:ascii="Century Gothic" w:hAnsi="Century Gothic"/>
        </w:rPr>
        <w:t xml:space="preserve">Much of the foregoing is specific to residential delineation, though the principals are the same for commercial property. Commercial neighborhood coding will depend upon the complexity of the jurisdiction. </w:t>
      </w:r>
    </w:p>
    <w:p w14:paraId="78E64707" w14:textId="77777777" w:rsidR="001704A8" w:rsidRDefault="001704A8" w:rsidP="001704A8">
      <w:pPr>
        <w:spacing w:line="320" w:lineRule="atLeast"/>
        <w:ind w:left="0" w:firstLine="0"/>
        <w:jc w:val="left"/>
        <w:rPr>
          <w:rFonts w:ascii="Century Gothic" w:hAnsi="Century Gothic"/>
        </w:rPr>
      </w:pPr>
      <w:r>
        <w:rPr>
          <w:rFonts w:ascii="Century Gothic" w:hAnsi="Century Gothic"/>
        </w:rPr>
        <w:t xml:space="preserve">It is important that the analyst understand the CAMA system being utilized and how the </w:t>
      </w:r>
      <w:r w:rsidR="00DB07AF">
        <w:rPr>
          <w:rFonts w:ascii="Century Gothic" w:hAnsi="Century Gothic"/>
        </w:rPr>
        <w:t>neighborhood</w:t>
      </w:r>
      <w:r>
        <w:rPr>
          <w:rFonts w:ascii="Century Gothic" w:hAnsi="Century Gothic"/>
        </w:rPr>
        <w:t xml:space="preserve"> assignment for non-residential properties might affect value.  If the income approach is tied to the </w:t>
      </w:r>
      <w:r w:rsidR="00DB07AF">
        <w:rPr>
          <w:rFonts w:ascii="Century Gothic" w:hAnsi="Century Gothic"/>
        </w:rPr>
        <w:t>neighborhood</w:t>
      </w:r>
      <w:r>
        <w:rPr>
          <w:rFonts w:ascii="Century Gothic" w:hAnsi="Century Gothic"/>
        </w:rPr>
        <w:t xml:space="preserve"> assignment as well as the land tables used for the cost approach, those factors must be considered to ensure the effective use of the neighborhood assignment.</w:t>
      </w:r>
    </w:p>
    <w:p w14:paraId="78E64708" w14:textId="77777777" w:rsidR="001704A8" w:rsidRDefault="001704A8" w:rsidP="001704A8">
      <w:pPr>
        <w:spacing w:line="320" w:lineRule="atLeast"/>
        <w:ind w:left="0" w:firstLine="0"/>
        <w:jc w:val="left"/>
        <w:rPr>
          <w:rFonts w:ascii="Century Gothic" w:hAnsi="Century Gothic"/>
        </w:rPr>
      </w:pPr>
      <w:r>
        <w:rPr>
          <w:rFonts w:ascii="Century Gothic" w:hAnsi="Century Gothic"/>
        </w:rPr>
        <w:t xml:space="preserve">Especially in larger jurisdictions, it is very helpful that the neighborhood assignment for non-residential properties employ a coding system that will immediately describe the value level and location for the reviewer.  </w:t>
      </w:r>
      <w:r>
        <w:rPr>
          <w:rFonts w:ascii="Century Gothic" w:hAnsi="Century Gothic"/>
        </w:rPr>
        <w:lastRenderedPageBreak/>
        <w:t>For analytical purposes (sales ratios and income and expense summaries), it is important that there be enough properties assigned to each neighborhood to make the analysis meaningful.  For that reason physical location (CBD, Major Strip, Industrial Park, etc) is often the starting point for commercial neighborhoods, not necessarily ward or township.  Logical grouping of relative value levels within each recognized physical location can ensure that there is sufficient data within each neighborhood to result in meaningful analysis of data and results.</w:t>
      </w:r>
    </w:p>
    <w:p w14:paraId="78E64709" w14:textId="77777777" w:rsidR="001704A8" w:rsidRDefault="001704A8" w:rsidP="001704A8">
      <w:pPr>
        <w:spacing w:line="320" w:lineRule="atLeast"/>
        <w:ind w:left="0" w:firstLine="0"/>
        <w:jc w:val="left"/>
        <w:rPr>
          <w:rFonts w:ascii="Century Gothic" w:hAnsi="Century Gothic"/>
          <w:b/>
        </w:rPr>
      </w:pPr>
      <w:r>
        <w:rPr>
          <w:rFonts w:ascii="Century Gothic" w:hAnsi="Century Gothic"/>
          <w:b/>
        </w:rPr>
        <w:t>EXAMPLE:</w:t>
      </w:r>
    </w:p>
    <w:p w14:paraId="78E6470A" w14:textId="77777777" w:rsidR="001704A8" w:rsidRDefault="001704A8" w:rsidP="001704A8">
      <w:pPr>
        <w:spacing w:line="320" w:lineRule="atLeast"/>
        <w:ind w:left="0" w:firstLine="0"/>
        <w:jc w:val="left"/>
        <w:rPr>
          <w:rFonts w:ascii="Century Gothic" w:hAnsi="Century Gothic"/>
        </w:rPr>
      </w:pPr>
      <w:r>
        <w:rPr>
          <w:rFonts w:ascii="Century Gothic" w:hAnsi="Century Gothic"/>
        </w:rPr>
        <w:t xml:space="preserve">Start by grouping individual districts within a </w:t>
      </w:r>
      <w:r w:rsidR="00DB07AF">
        <w:rPr>
          <w:rFonts w:ascii="Century Gothic" w:hAnsi="Century Gothic"/>
        </w:rPr>
        <w:t>Jurisdiction</w:t>
      </w:r>
      <w:r>
        <w:rPr>
          <w:rFonts w:ascii="Century Gothic" w:hAnsi="Century Gothic"/>
        </w:rPr>
        <w:t xml:space="preserve"> into relative value levels (</w:t>
      </w:r>
      <w:r w:rsidR="00DB07AF">
        <w:rPr>
          <w:rFonts w:ascii="Century Gothic" w:hAnsi="Century Gothic"/>
        </w:rPr>
        <w:t>neighborhoods</w:t>
      </w:r>
      <w:r>
        <w:rPr>
          <w:rFonts w:ascii="Century Gothic" w:hAnsi="Century Gothic"/>
        </w:rPr>
        <w:t>).  If there is a major city, it might stand on its own.  If there are older mill towns or small, low valued areas, they might be clustered together based on relative rents and values.  Rural townships might be clustered into the same physical neighborhoods, or, perhaps the rural areas could be further broken down into N-S-E-W for their differing rental markets and values.</w:t>
      </w:r>
    </w:p>
    <w:p w14:paraId="78E6470B" w14:textId="77777777" w:rsidR="001704A8" w:rsidRDefault="001704A8" w:rsidP="001704A8">
      <w:pPr>
        <w:spacing w:line="320" w:lineRule="atLeast"/>
        <w:ind w:left="0" w:firstLine="0"/>
        <w:jc w:val="left"/>
        <w:rPr>
          <w:rFonts w:ascii="Century Gothic" w:hAnsi="Century Gothic"/>
        </w:rPr>
      </w:pPr>
      <w:r>
        <w:rPr>
          <w:rFonts w:ascii="Century Gothic" w:hAnsi="Century Gothic"/>
        </w:rPr>
        <w:t xml:space="preserve">Identify haw each property’s physical location is identified in the database and how the </w:t>
      </w:r>
      <w:r w:rsidR="00DB07AF">
        <w:rPr>
          <w:rFonts w:ascii="Century Gothic" w:hAnsi="Century Gothic"/>
        </w:rPr>
        <w:t>neighborhood</w:t>
      </w:r>
      <w:r>
        <w:rPr>
          <w:rFonts w:ascii="Century Gothic" w:hAnsi="Century Gothic"/>
        </w:rPr>
        <w:t xml:space="preserve"> assignment will be used to estimate value.  Typically, non-residential locations can be summarized in ten categories like residential, industrial park, major </w:t>
      </w:r>
      <w:r w:rsidR="00DB07AF">
        <w:rPr>
          <w:rFonts w:ascii="Century Gothic" w:hAnsi="Century Gothic"/>
        </w:rPr>
        <w:t>strip</w:t>
      </w:r>
      <w:r>
        <w:rPr>
          <w:rFonts w:ascii="Century Gothic" w:hAnsi="Century Gothic"/>
        </w:rPr>
        <w:t>, industrial, etc.  Generally, rental rates and land values will differ among these locations, so they can be very useful if included in the actual neighborhood number.</w:t>
      </w:r>
    </w:p>
    <w:p w14:paraId="78E6470C" w14:textId="77777777" w:rsidR="001704A8" w:rsidRDefault="001704A8" w:rsidP="001704A8">
      <w:pPr>
        <w:spacing w:line="320" w:lineRule="atLeast"/>
        <w:ind w:left="0" w:firstLine="0"/>
        <w:jc w:val="left"/>
        <w:rPr>
          <w:rFonts w:ascii="Century Gothic" w:hAnsi="Century Gothic"/>
        </w:rPr>
      </w:pPr>
      <w:r>
        <w:rPr>
          <w:rFonts w:ascii="Century Gothic" w:hAnsi="Century Gothic"/>
        </w:rPr>
        <w:t>Determine how many characters are available to you within the CAMA system and whether they must be numeric or can include alpha characters.  Determine what the residential neighborhood schema is and create a schema for the non-residential neighborhoods that is unique and immediately identified as non-residential.</w:t>
      </w:r>
    </w:p>
    <w:p w14:paraId="78E6470D" w14:textId="77777777" w:rsidR="001704A8" w:rsidRDefault="00DB07AF" w:rsidP="001704A8">
      <w:pPr>
        <w:spacing w:line="320" w:lineRule="atLeast"/>
        <w:ind w:left="0" w:firstLine="0"/>
        <w:jc w:val="left"/>
        <w:rPr>
          <w:rFonts w:ascii="Century Gothic" w:hAnsi="Century Gothic"/>
        </w:rPr>
      </w:pPr>
      <w:r>
        <w:rPr>
          <w:rFonts w:ascii="Century Gothic" w:hAnsi="Century Gothic"/>
        </w:rPr>
        <w:t>Once the above actions are</w:t>
      </w:r>
      <w:r w:rsidR="001704A8">
        <w:rPr>
          <w:rFonts w:ascii="Century Gothic" w:hAnsi="Century Gothic"/>
        </w:rPr>
        <w:t xml:space="preserve"> completed, one might do the following:</w:t>
      </w:r>
    </w:p>
    <w:p w14:paraId="78E6470E" w14:textId="77777777" w:rsidR="001704A8" w:rsidRDefault="001704A8" w:rsidP="001704A8">
      <w:pPr>
        <w:spacing w:line="320" w:lineRule="atLeast"/>
        <w:ind w:left="0" w:firstLine="0"/>
        <w:jc w:val="left"/>
        <w:rPr>
          <w:rFonts w:ascii="Century Gothic" w:hAnsi="Century Gothic"/>
        </w:rPr>
      </w:pPr>
      <w:r>
        <w:rPr>
          <w:rFonts w:ascii="Century Gothic" w:hAnsi="Century Gothic"/>
        </w:rPr>
        <w:lastRenderedPageBreak/>
        <w:t>The CAMA system allows a maximum of 5 alpha-numeric characters.  Residential neighborhoods begin with the 2 digit school district number (all falling between 01-35).  The trailing 3 characters are reserved for the neighborhoods located within each scholl district.</w:t>
      </w:r>
    </w:p>
    <w:p w14:paraId="78E6470F" w14:textId="77777777" w:rsidR="001704A8" w:rsidRDefault="001704A8" w:rsidP="001704A8">
      <w:pPr>
        <w:spacing w:line="320" w:lineRule="atLeast"/>
        <w:ind w:left="0" w:firstLine="0"/>
        <w:jc w:val="left"/>
        <w:rPr>
          <w:rFonts w:ascii="Century Gothic" w:hAnsi="Century Gothic"/>
        </w:rPr>
      </w:pPr>
      <w:r>
        <w:rPr>
          <w:rFonts w:ascii="Century Gothic" w:hAnsi="Century Gothic"/>
        </w:rPr>
        <w:t>Since there are no residential neighborhoods beginning with the numeral 5, the commercial analyst might reserve that (or any other set of numbers between 40 and 99) to designate commercial neighborhoods.  Seven “neighborhoods” have been identified geographically and assigned to neighborhoods 51-57.  It has been determined that up to 10 value levels will be needed for each physical location.</w:t>
      </w:r>
    </w:p>
    <w:p w14:paraId="78E64710" w14:textId="77777777" w:rsidR="001704A8" w:rsidRDefault="001704A8" w:rsidP="001704A8">
      <w:pPr>
        <w:spacing w:line="320" w:lineRule="atLeast"/>
        <w:ind w:left="0" w:firstLine="0"/>
        <w:jc w:val="left"/>
        <w:rPr>
          <w:rFonts w:ascii="Century Gothic" w:hAnsi="Century Gothic"/>
        </w:rPr>
      </w:pPr>
      <w:r>
        <w:rPr>
          <w:rFonts w:ascii="Century Gothic" w:hAnsi="Century Gothic"/>
        </w:rPr>
        <w:t xml:space="preserve">A commercial neighborhood number might be defined in the example above as first 2 digits beginning with 51-57 to describe physical neighborhood; the third character to identify one of the ten available value levels within the neighborhood and a fourth to identify the physical location of the property (CBD or other).  </w:t>
      </w:r>
    </w:p>
    <w:p w14:paraId="78E64711" w14:textId="77777777" w:rsidR="001704A8" w:rsidRDefault="001704A8" w:rsidP="001704A8">
      <w:pPr>
        <w:spacing w:line="320" w:lineRule="atLeast"/>
        <w:ind w:left="0" w:firstLine="0"/>
        <w:jc w:val="left"/>
        <w:rPr>
          <w:rFonts w:ascii="Century Gothic" w:hAnsi="Century Gothic"/>
        </w:rPr>
      </w:pPr>
      <w:r>
        <w:rPr>
          <w:rFonts w:ascii="Century Gothic" w:hAnsi="Century Gothic"/>
        </w:rPr>
        <w:t xml:space="preserve">If neighborhood 51 is the major city located in the </w:t>
      </w:r>
      <w:r w:rsidR="00DB07AF">
        <w:rPr>
          <w:rFonts w:ascii="Century Gothic" w:hAnsi="Century Gothic"/>
        </w:rPr>
        <w:t>jurisdiction</w:t>
      </w:r>
      <w:r>
        <w:rPr>
          <w:rFonts w:ascii="Century Gothic" w:hAnsi="Century Gothic"/>
        </w:rPr>
        <w:t xml:space="preserve"> and downtown is the highest level CBD (highest level is 1) and CBD = 1 then a property in the downtown CBD is easily recognizable as 5111.</w:t>
      </w:r>
    </w:p>
    <w:p w14:paraId="78E64712" w14:textId="77777777" w:rsidR="001704A8" w:rsidRDefault="001704A8" w:rsidP="001704A8">
      <w:pPr>
        <w:spacing w:line="320" w:lineRule="atLeast"/>
        <w:ind w:left="0" w:firstLine="0"/>
        <w:jc w:val="left"/>
        <w:rPr>
          <w:rFonts w:ascii="Century Gothic" w:hAnsi="Century Gothic"/>
        </w:rPr>
      </w:pPr>
    </w:p>
    <w:p w14:paraId="78E64713" w14:textId="77777777" w:rsidR="001618C9" w:rsidRDefault="001618C9" w:rsidP="001D77B3">
      <w:pPr>
        <w:pStyle w:val="Heading1"/>
      </w:pPr>
      <w:bookmarkStart w:id="12" w:name="_Toc395526924"/>
      <w:r>
        <w:t>Necessary Documentation</w:t>
      </w:r>
      <w:bookmarkEnd w:id="12"/>
    </w:p>
    <w:p w14:paraId="78E64714" w14:textId="77777777" w:rsidR="00F22F7D" w:rsidRDefault="00F22F7D" w:rsidP="00F22F7D">
      <w:pPr>
        <w:spacing w:line="320" w:lineRule="atLeast"/>
        <w:ind w:left="0" w:firstLine="0"/>
        <w:jc w:val="left"/>
        <w:rPr>
          <w:rFonts w:ascii="Century Gothic" w:hAnsi="Century Gothic"/>
        </w:rPr>
      </w:pPr>
      <w:r w:rsidRPr="00F22F7D">
        <w:rPr>
          <w:rFonts w:ascii="Century Gothic" w:hAnsi="Century Gothic"/>
        </w:rPr>
        <w:t>Documentation should include</w:t>
      </w:r>
      <w:r>
        <w:rPr>
          <w:rFonts w:ascii="Century Gothic" w:hAnsi="Century Gothic"/>
        </w:rPr>
        <w:t>, but is not limited to:</w:t>
      </w:r>
    </w:p>
    <w:p w14:paraId="78E64715" w14:textId="77777777" w:rsidR="002A554A" w:rsidRDefault="002A554A" w:rsidP="00F22F7D">
      <w:pPr>
        <w:spacing w:line="320" w:lineRule="atLeast"/>
        <w:ind w:left="0" w:firstLine="0"/>
        <w:jc w:val="left"/>
        <w:rPr>
          <w:rFonts w:ascii="Century Gothic" w:hAnsi="Century Gothic"/>
        </w:rPr>
      </w:pPr>
      <w:r>
        <w:rPr>
          <w:rFonts w:ascii="Century Gothic" w:hAnsi="Century Gothic"/>
        </w:rPr>
        <w:t>• Neighborhood maps showing boundaries</w:t>
      </w:r>
    </w:p>
    <w:p w14:paraId="78E64716" w14:textId="77777777" w:rsidR="002A554A" w:rsidRDefault="002A554A" w:rsidP="00F22F7D">
      <w:pPr>
        <w:spacing w:line="320" w:lineRule="atLeast"/>
        <w:ind w:left="0" w:firstLine="0"/>
        <w:jc w:val="left"/>
        <w:rPr>
          <w:rFonts w:ascii="Century Gothic" w:hAnsi="Century Gothic"/>
        </w:rPr>
      </w:pPr>
      <w:r>
        <w:rPr>
          <w:rFonts w:ascii="Century Gothic" w:hAnsi="Century Gothic"/>
        </w:rPr>
        <w:t>• Neighborhood profiles for each neighborhood in your jurisdiction</w:t>
      </w:r>
    </w:p>
    <w:p w14:paraId="78E64717" w14:textId="77777777" w:rsidR="002A554A" w:rsidRDefault="002A554A" w:rsidP="00F22F7D">
      <w:pPr>
        <w:spacing w:line="320" w:lineRule="atLeast"/>
        <w:ind w:left="0" w:firstLine="0"/>
        <w:jc w:val="left"/>
        <w:rPr>
          <w:rFonts w:ascii="Century Gothic" w:hAnsi="Century Gothic"/>
        </w:rPr>
      </w:pPr>
      <w:r>
        <w:rPr>
          <w:rFonts w:ascii="Century Gothic" w:hAnsi="Century Gothic"/>
        </w:rPr>
        <w:t>• Neighborhood d</w:t>
      </w:r>
      <w:r w:rsidR="00030EB3">
        <w:rPr>
          <w:rFonts w:ascii="Century Gothic" w:hAnsi="Century Gothic"/>
        </w:rPr>
        <w:t>ata</w:t>
      </w:r>
      <w:r>
        <w:rPr>
          <w:rFonts w:ascii="Century Gothic" w:hAnsi="Century Gothic"/>
        </w:rPr>
        <w:t xml:space="preserve"> forms</w:t>
      </w:r>
    </w:p>
    <w:p w14:paraId="78E64718" w14:textId="77777777" w:rsidR="00F22F7D" w:rsidRDefault="00F22F7D" w:rsidP="00F22F7D">
      <w:pPr>
        <w:spacing w:line="320" w:lineRule="atLeast"/>
        <w:ind w:left="0" w:firstLine="0"/>
        <w:jc w:val="left"/>
        <w:rPr>
          <w:rFonts w:ascii="Century Gothic" w:hAnsi="Century Gothic"/>
        </w:rPr>
      </w:pPr>
      <w:r>
        <w:rPr>
          <w:rFonts w:ascii="Century Gothic" w:hAnsi="Century Gothic"/>
        </w:rPr>
        <w:t>• Sales ratio studies summarized by neighborhood</w:t>
      </w:r>
    </w:p>
    <w:p w14:paraId="78E64719" w14:textId="77777777" w:rsidR="00F22F7D" w:rsidRPr="00F22F7D" w:rsidRDefault="00F22F7D" w:rsidP="001618C9">
      <w:pPr>
        <w:spacing w:line="320" w:lineRule="atLeast"/>
        <w:ind w:left="0" w:firstLine="0"/>
        <w:jc w:val="left"/>
        <w:rPr>
          <w:rFonts w:ascii="Century Gothic" w:hAnsi="Century Gothic"/>
        </w:rPr>
      </w:pPr>
      <w:r>
        <w:rPr>
          <w:rFonts w:ascii="Century Gothic" w:hAnsi="Century Gothic"/>
        </w:rPr>
        <w:lastRenderedPageBreak/>
        <w:t>• Frequency distributions indicating the homogeneous nature of the neighborhood.</w:t>
      </w:r>
    </w:p>
    <w:p w14:paraId="78E6471A" w14:textId="77777777" w:rsidR="00EA0960" w:rsidRDefault="00F22F7D" w:rsidP="00770EAE">
      <w:pPr>
        <w:spacing w:line="320" w:lineRule="atLeast"/>
        <w:ind w:left="180" w:hanging="180"/>
        <w:jc w:val="left"/>
        <w:rPr>
          <w:rFonts w:ascii="Century Gothic" w:hAnsi="Century Gothic"/>
        </w:rPr>
      </w:pPr>
      <w:r>
        <w:rPr>
          <w:rFonts w:ascii="Century Gothic" w:hAnsi="Century Gothic"/>
          <w:b/>
        </w:rPr>
        <w:t xml:space="preserve">• </w:t>
      </w:r>
      <w:r>
        <w:rPr>
          <w:rFonts w:ascii="Century Gothic" w:hAnsi="Century Gothic"/>
        </w:rPr>
        <w:t>Maps</w:t>
      </w:r>
      <w:r w:rsidR="002A554A">
        <w:rPr>
          <w:rFonts w:ascii="Century Gothic" w:hAnsi="Century Gothic"/>
        </w:rPr>
        <w:t xml:space="preserve"> w</w:t>
      </w:r>
      <w:r>
        <w:rPr>
          <w:rFonts w:ascii="Century Gothic" w:hAnsi="Century Gothic"/>
        </w:rPr>
        <w:t>ith supporting data such as zoning maps, tax district maps, topographical maps</w:t>
      </w:r>
    </w:p>
    <w:p w14:paraId="78E6471B" w14:textId="77777777" w:rsidR="001356FA" w:rsidRDefault="001356FA" w:rsidP="00F22F7D">
      <w:pPr>
        <w:spacing w:line="320" w:lineRule="atLeast"/>
        <w:ind w:left="288" w:hanging="288"/>
        <w:jc w:val="left"/>
        <w:rPr>
          <w:rFonts w:ascii="Century Gothic" w:hAnsi="Century Gothic"/>
        </w:rPr>
      </w:pPr>
    </w:p>
    <w:p w14:paraId="78E6471C" w14:textId="77777777" w:rsidR="001704A8" w:rsidRDefault="001704A8" w:rsidP="00F22F7D">
      <w:pPr>
        <w:spacing w:line="320" w:lineRule="atLeast"/>
        <w:ind w:left="288" w:hanging="288"/>
        <w:jc w:val="left"/>
        <w:rPr>
          <w:rFonts w:ascii="Century Gothic" w:hAnsi="Century Gothic"/>
        </w:rPr>
      </w:pPr>
    </w:p>
    <w:p w14:paraId="78E6471D" w14:textId="77777777" w:rsidR="001704A8" w:rsidRDefault="001704A8" w:rsidP="00F22F7D">
      <w:pPr>
        <w:spacing w:line="320" w:lineRule="atLeast"/>
        <w:ind w:left="288" w:hanging="288"/>
        <w:jc w:val="left"/>
        <w:rPr>
          <w:rFonts w:ascii="Century Gothic" w:hAnsi="Century Gothic"/>
        </w:rPr>
      </w:pPr>
    </w:p>
    <w:p w14:paraId="78E6471E" w14:textId="77777777" w:rsidR="001704A8" w:rsidRDefault="001704A8" w:rsidP="00F22F7D">
      <w:pPr>
        <w:spacing w:line="320" w:lineRule="atLeast"/>
        <w:ind w:left="288" w:hanging="288"/>
        <w:jc w:val="left"/>
        <w:rPr>
          <w:rFonts w:ascii="Century Gothic" w:hAnsi="Century Gothic"/>
        </w:rPr>
      </w:pPr>
    </w:p>
    <w:p w14:paraId="78E6471F" w14:textId="77777777" w:rsidR="001704A8" w:rsidRDefault="001704A8" w:rsidP="00F22F7D">
      <w:pPr>
        <w:spacing w:line="320" w:lineRule="atLeast"/>
        <w:ind w:left="288" w:hanging="288"/>
        <w:jc w:val="left"/>
        <w:rPr>
          <w:rFonts w:ascii="Century Gothic" w:hAnsi="Century Gothic"/>
        </w:rPr>
      </w:pPr>
    </w:p>
    <w:p w14:paraId="78E64720" w14:textId="77777777" w:rsidR="001704A8" w:rsidRDefault="001704A8" w:rsidP="00F22F7D">
      <w:pPr>
        <w:spacing w:line="320" w:lineRule="atLeast"/>
        <w:ind w:left="288" w:hanging="288"/>
        <w:jc w:val="left"/>
        <w:rPr>
          <w:rFonts w:ascii="Century Gothic" w:hAnsi="Century Gothic"/>
        </w:rPr>
      </w:pPr>
    </w:p>
    <w:p w14:paraId="78E64721" w14:textId="77777777" w:rsidR="001704A8" w:rsidRDefault="001704A8" w:rsidP="00F22F7D">
      <w:pPr>
        <w:spacing w:line="320" w:lineRule="atLeast"/>
        <w:ind w:left="288" w:hanging="288"/>
        <w:jc w:val="left"/>
        <w:rPr>
          <w:rFonts w:ascii="Century Gothic" w:hAnsi="Century Gothic"/>
        </w:rPr>
      </w:pPr>
    </w:p>
    <w:p w14:paraId="78E64722" w14:textId="77777777" w:rsidR="001704A8" w:rsidRDefault="001704A8" w:rsidP="00F22F7D">
      <w:pPr>
        <w:spacing w:line="320" w:lineRule="atLeast"/>
        <w:ind w:left="288" w:hanging="288"/>
        <w:jc w:val="left"/>
        <w:rPr>
          <w:rFonts w:ascii="Century Gothic" w:hAnsi="Century Gothic"/>
        </w:rPr>
      </w:pPr>
    </w:p>
    <w:p w14:paraId="78E64723" w14:textId="77777777" w:rsidR="001704A8" w:rsidRDefault="001704A8" w:rsidP="00F22F7D">
      <w:pPr>
        <w:spacing w:line="320" w:lineRule="atLeast"/>
        <w:ind w:left="288" w:hanging="288"/>
        <w:jc w:val="left"/>
        <w:rPr>
          <w:rFonts w:ascii="Century Gothic" w:hAnsi="Century Gothic"/>
        </w:rPr>
      </w:pPr>
    </w:p>
    <w:p w14:paraId="78E64724" w14:textId="77777777" w:rsidR="001704A8" w:rsidRDefault="001704A8" w:rsidP="00F22F7D">
      <w:pPr>
        <w:spacing w:line="320" w:lineRule="atLeast"/>
        <w:ind w:left="288" w:hanging="288"/>
        <w:jc w:val="left"/>
        <w:rPr>
          <w:rFonts w:ascii="Century Gothic" w:hAnsi="Century Gothic"/>
        </w:rPr>
      </w:pPr>
    </w:p>
    <w:p w14:paraId="78E64725" w14:textId="77777777" w:rsidR="001704A8" w:rsidRDefault="001704A8" w:rsidP="00F22F7D">
      <w:pPr>
        <w:spacing w:line="320" w:lineRule="atLeast"/>
        <w:ind w:left="288" w:hanging="288"/>
        <w:jc w:val="left"/>
        <w:rPr>
          <w:rFonts w:ascii="Century Gothic" w:hAnsi="Century Gothic"/>
        </w:rPr>
      </w:pPr>
    </w:p>
    <w:p w14:paraId="78E64726" w14:textId="77777777" w:rsidR="001704A8" w:rsidRDefault="001704A8" w:rsidP="00F22F7D">
      <w:pPr>
        <w:spacing w:line="320" w:lineRule="atLeast"/>
        <w:ind w:left="288" w:hanging="288"/>
        <w:jc w:val="left"/>
        <w:rPr>
          <w:rFonts w:ascii="Century Gothic" w:hAnsi="Century Gothic"/>
        </w:rPr>
      </w:pPr>
    </w:p>
    <w:p w14:paraId="78E64727" w14:textId="77777777" w:rsidR="001704A8" w:rsidRDefault="001704A8" w:rsidP="00F22F7D">
      <w:pPr>
        <w:spacing w:line="320" w:lineRule="atLeast"/>
        <w:ind w:left="288" w:hanging="288"/>
        <w:jc w:val="left"/>
        <w:rPr>
          <w:rFonts w:ascii="Century Gothic" w:hAnsi="Century Gothic"/>
        </w:rPr>
      </w:pPr>
    </w:p>
    <w:p w14:paraId="78E64728" w14:textId="77777777" w:rsidR="001704A8" w:rsidRDefault="001704A8" w:rsidP="00F22F7D">
      <w:pPr>
        <w:spacing w:line="320" w:lineRule="atLeast"/>
        <w:ind w:left="288" w:hanging="288"/>
        <w:jc w:val="left"/>
        <w:rPr>
          <w:rFonts w:ascii="Century Gothic" w:hAnsi="Century Gothic"/>
        </w:rPr>
      </w:pPr>
    </w:p>
    <w:p w14:paraId="78E64729" w14:textId="77777777" w:rsidR="001704A8" w:rsidRDefault="001704A8" w:rsidP="00F22F7D">
      <w:pPr>
        <w:spacing w:line="320" w:lineRule="atLeast"/>
        <w:ind w:left="288" w:hanging="288"/>
        <w:jc w:val="left"/>
        <w:rPr>
          <w:rFonts w:ascii="Century Gothic" w:hAnsi="Century Gothic"/>
        </w:rPr>
      </w:pPr>
    </w:p>
    <w:p w14:paraId="78E6472A" w14:textId="77777777" w:rsidR="00F30A7E" w:rsidRDefault="00F30A7E" w:rsidP="00F22F7D">
      <w:pPr>
        <w:spacing w:line="320" w:lineRule="atLeast"/>
        <w:ind w:left="288" w:hanging="288"/>
        <w:jc w:val="left"/>
        <w:rPr>
          <w:rFonts w:ascii="Century Gothic" w:hAnsi="Century Gothic"/>
        </w:rPr>
      </w:pPr>
    </w:p>
    <w:p w14:paraId="78E6472B" w14:textId="77777777" w:rsidR="00440456" w:rsidRDefault="00440456" w:rsidP="00440456">
      <w:pPr>
        <w:pStyle w:val="Heading1"/>
      </w:pPr>
      <w:bookmarkStart w:id="13" w:name="_Toc395526925"/>
      <w:r>
        <w:lastRenderedPageBreak/>
        <w:t>References</w:t>
      </w:r>
      <w:bookmarkEnd w:id="13"/>
    </w:p>
    <w:p w14:paraId="78E6472C" w14:textId="77777777" w:rsidR="00440456" w:rsidRPr="00440456" w:rsidRDefault="00440456" w:rsidP="004D2C28">
      <w:pPr>
        <w:pStyle w:val="Heading2"/>
        <w:ind w:left="1080" w:hanging="1080"/>
      </w:pPr>
      <w:bookmarkStart w:id="14" w:name="_Toc395526926"/>
      <w:r w:rsidRPr="00440456">
        <w:t>USPAP 6</w:t>
      </w:r>
      <w:bookmarkEnd w:id="14"/>
    </w:p>
    <w:p w14:paraId="78E6472D" w14:textId="77777777" w:rsidR="00440456" w:rsidRPr="00440456" w:rsidRDefault="00440456" w:rsidP="00401681">
      <w:pPr>
        <w:ind w:left="1080" w:hanging="360"/>
        <w:rPr>
          <w:b/>
        </w:rPr>
      </w:pPr>
      <w:r w:rsidRPr="00440456">
        <w:rPr>
          <w:b/>
        </w:rPr>
        <w:object w:dxaOrig="1536" w:dyaOrig="994" w14:anchorId="78E6476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50.25pt" o:ole="">
            <v:imagedata r:id="rId25" o:title=""/>
          </v:shape>
          <o:OLEObject Type="Embed" ProgID="Acrobat.Document.11" ShapeID="_x0000_i1025" DrawAspect="Icon" ObjectID="_1477287911" r:id="rId26"/>
        </w:object>
      </w:r>
    </w:p>
    <w:p w14:paraId="78E6472E" w14:textId="77777777" w:rsidR="00440456" w:rsidRPr="00440456" w:rsidRDefault="00440456" w:rsidP="004D2C28">
      <w:pPr>
        <w:pStyle w:val="Heading2"/>
        <w:ind w:left="1080" w:hanging="1080"/>
      </w:pPr>
      <w:bookmarkStart w:id="15" w:name="_Toc395526927"/>
      <w:r w:rsidRPr="00440456">
        <w:t xml:space="preserve">IAAO </w:t>
      </w:r>
      <w:r w:rsidR="00B17F8A">
        <w:t>Procedure</w:t>
      </w:r>
      <w:r w:rsidRPr="00440456">
        <w:t xml:space="preserve"> on Mass Appraisal</w:t>
      </w:r>
      <w:bookmarkEnd w:id="15"/>
    </w:p>
    <w:p w14:paraId="78E6472F" w14:textId="77777777" w:rsidR="00440456" w:rsidRPr="00440456" w:rsidRDefault="00440456" w:rsidP="00401681">
      <w:pPr>
        <w:ind w:left="1080" w:hanging="360"/>
        <w:rPr>
          <w:b/>
        </w:rPr>
      </w:pPr>
      <w:r w:rsidRPr="00440456">
        <w:rPr>
          <w:b/>
        </w:rPr>
        <w:object w:dxaOrig="1536" w:dyaOrig="994" w14:anchorId="78E64763">
          <v:shape id="_x0000_i1026" type="#_x0000_t75" style="width:76.5pt;height:50.25pt" o:ole="">
            <v:imagedata r:id="rId27" o:title=""/>
          </v:shape>
          <o:OLEObject Type="Embed" ProgID="Acrobat.Document.11" ShapeID="_x0000_i1026" DrawAspect="Icon" ObjectID="_1477287912" r:id="rId28"/>
        </w:object>
      </w:r>
    </w:p>
    <w:p w14:paraId="78E64730" w14:textId="77777777" w:rsidR="00440456" w:rsidRDefault="00440456" w:rsidP="004D2C28">
      <w:pPr>
        <w:pStyle w:val="Heading2"/>
        <w:ind w:left="1080" w:hanging="1080"/>
      </w:pPr>
      <w:bookmarkStart w:id="16" w:name="_Toc395526928"/>
      <w:r w:rsidRPr="00440456">
        <w:t>Neighborhood Data Form</w:t>
      </w:r>
      <w:bookmarkEnd w:id="16"/>
    </w:p>
    <w:p w14:paraId="78E64731" w14:textId="77777777" w:rsidR="00401681" w:rsidRPr="00401681" w:rsidRDefault="00401681" w:rsidP="00401681">
      <w:r>
        <w:object w:dxaOrig="1531" w:dyaOrig="1002" w14:anchorId="78E64764">
          <v:shape id="_x0000_i1027" type="#_x0000_t75" style="width:76.5pt;height:50.25pt" o:ole="">
            <v:imagedata r:id="rId29" o:title=""/>
          </v:shape>
          <o:OLEObject Type="Embed" ProgID="Excel.Sheet.8" ShapeID="_x0000_i1027" DrawAspect="Icon" ObjectID="_1477287913" r:id="rId30"/>
        </w:object>
      </w:r>
    </w:p>
    <w:p w14:paraId="78E64732" w14:textId="77777777" w:rsidR="00440456" w:rsidRDefault="00440456" w:rsidP="004D2C28">
      <w:pPr>
        <w:pStyle w:val="Heading2"/>
        <w:ind w:left="1080" w:hanging="1080"/>
      </w:pPr>
      <w:bookmarkStart w:id="17" w:name="_Toc395526929"/>
      <w:r>
        <w:t xml:space="preserve">IAAO – </w:t>
      </w:r>
      <w:hyperlink r:id="rId31" w:history="1">
        <w:r w:rsidRPr="005C4CE9">
          <w:rPr>
            <w:rStyle w:val="Hyperlink"/>
          </w:rPr>
          <w:t>www.iaao.org</w:t>
        </w:r>
        <w:bookmarkEnd w:id="17"/>
      </w:hyperlink>
      <w:r>
        <w:t xml:space="preserve"> </w:t>
      </w:r>
    </w:p>
    <w:p w14:paraId="78E64733" w14:textId="77777777" w:rsidR="00440456" w:rsidRDefault="00440456" w:rsidP="004D2C28">
      <w:pPr>
        <w:pStyle w:val="Heading2"/>
        <w:ind w:left="1080" w:hanging="1080"/>
      </w:pPr>
      <w:bookmarkStart w:id="18" w:name="_Toc315364824"/>
      <w:bookmarkStart w:id="19" w:name="_Toc395526930"/>
      <w:r>
        <w:t xml:space="preserve">ESRI – </w:t>
      </w:r>
      <w:bookmarkEnd w:id="18"/>
      <w:r>
        <w:fldChar w:fldCharType="begin"/>
      </w:r>
      <w:r>
        <w:instrText xml:space="preserve"> HYPERLINK "http://www.Esri.com" </w:instrText>
      </w:r>
      <w:r>
        <w:fldChar w:fldCharType="separate"/>
      </w:r>
      <w:r w:rsidRPr="005C4CE9">
        <w:rPr>
          <w:rStyle w:val="Hyperlink"/>
        </w:rPr>
        <w:t>www.Esri.com</w:t>
      </w:r>
      <w:bookmarkEnd w:id="19"/>
      <w:r>
        <w:rPr>
          <w:rStyle w:val="Hyperlink"/>
        </w:rPr>
        <w:fldChar w:fldCharType="end"/>
      </w:r>
      <w:r>
        <w:tab/>
      </w:r>
    </w:p>
    <w:p w14:paraId="78E64734" w14:textId="77777777" w:rsidR="00440456" w:rsidRDefault="00440456" w:rsidP="004D2C28">
      <w:pPr>
        <w:pStyle w:val="Heading2"/>
        <w:ind w:left="1080" w:hanging="1080"/>
      </w:pPr>
      <w:bookmarkStart w:id="20" w:name="_Toc315364825"/>
      <w:bookmarkStart w:id="21" w:name="_Toc395526931"/>
      <w:r>
        <w:t xml:space="preserve">Appraisal Institute – </w:t>
      </w:r>
      <w:bookmarkEnd w:id="20"/>
      <w:r>
        <w:fldChar w:fldCharType="begin"/>
      </w:r>
      <w:r>
        <w:instrText xml:space="preserve"> HYPERLINK "http://www.appraisalinstitute.org" </w:instrText>
      </w:r>
      <w:r>
        <w:fldChar w:fldCharType="separate"/>
      </w:r>
      <w:r w:rsidRPr="005C4CE9">
        <w:rPr>
          <w:rStyle w:val="Hyperlink"/>
        </w:rPr>
        <w:t>www.appraisalinstitute.org</w:t>
      </w:r>
      <w:bookmarkEnd w:id="21"/>
      <w:r>
        <w:rPr>
          <w:rStyle w:val="Hyperlink"/>
        </w:rPr>
        <w:fldChar w:fldCharType="end"/>
      </w:r>
      <w:r>
        <w:t xml:space="preserve"> </w:t>
      </w:r>
    </w:p>
    <w:p w14:paraId="78E64735" w14:textId="77777777" w:rsidR="00440456" w:rsidRDefault="00DB07AF" w:rsidP="00440456">
      <w:pPr>
        <w:rPr>
          <w:rFonts w:ascii="Century Gothic" w:hAnsi="Century Gothic"/>
        </w:rPr>
      </w:pPr>
      <w:r>
        <w:rPr>
          <w:rFonts w:ascii="Century Gothic" w:hAnsi="Century Gothic"/>
        </w:rPr>
        <w:br w:type="page"/>
      </w:r>
    </w:p>
    <w:p w14:paraId="78E64736" w14:textId="77777777" w:rsidR="001618C9" w:rsidRDefault="001618C9" w:rsidP="00F30A7E">
      <w:pPr>
        <w:pStyle w:val="Heading1"/>
      </w:pPr>
      <w:bookmarkStart w:id="22" w:name="_Toc395526932"/>
      <w:r>
        <w:lastRenderedPageBreak/>
        <w:t>Definitions</w:t>
      </w:r>
      <w:bookmarkEnd w:id="22"/>
    </w:p>
    <w:p w14:paraId="78E64737" w14:textId="77777777" w:rsidR="00F30A7E" w:rsidRPr="00F30A7E" w:rsidRDefault="00F30A7E" w:rsidP="00F30A7E"/>
    <w:p w14:paraId="78E64738" w14:textId="77777777" w:rsidR="008C628F" w:rsidRPr="00CD1C7E" w:rsidRDefault="008C628F" w:rsidP="008C628F">
      <w:pPr>
        <w:tabs>
          <w:tab w:val="left" w:pos="2880"/>
          <w:tab w:val="left" w:pos="5040"/>
          <w:tab w:val="left" w:pos="6120"/>
        </w:tabs>
        <w:ind w:left="2880" w:hanging="2880"/>
        <w:rPr>
          <w:rFonts w:ascii="Century Gothic" w:hAnsi="Century Gothic"/>
        </w:rPr>
      </w:pPr>
      <w:r w:rsidRPr="00CD1C7E">
        <w:rPr>
          <w:rFonts w:ascii="Century Gothic" w:hAnsi="Century Gothic"/>
        </w:rPr>
        <w:t>Aggregate ratio</w:t>
      </w:r>
      <w:r w:rsidRPr="00CD1C7E">
        <w:rPr>
          <w:rFonts w:ascii="Century Gothic" w:hAnsi="Century Gothic"/>
        </w:rPr>
        <w:tab/>
      </w:r>
      <w:r w:rsidR="00E901C8" w:rsidRPr="00CD1C7E">
        <w:rPr>
          <w:rFonts w:ascii="Century Gothic" w:hAnsi="Century Gothic"/>
        </w:rPr>
        <w:t>as</w:t>
      </w:r>
      <w:r w:rsidRPr="00CD1C7E">
        <w:rPr>
          <w:rFonts w:ascii="Century Gothic" w:hAnsi="Century Gothic"/>
        </w:rPr>
        <w:t xml:space="preserve"> applied to real estate, the ratio of the total assessed value to the total selling price.</w:t>
      </w:r>
    </w:p>
    <w:p w14:paraId="78E64739" w14:textId="77777777" w:rsidR="008C628F" w:rsidRPr="00CD1C7E" w:rsidRDefault="008C628F" w:rsidP="008C628F">
      <w:pPr>
        <w:tabs>
          <w:tab w:val="left" w:pos="2880"/>
          <w:tab w:val="left" w:pos="5040"/>
          <w:tab w:val="left" w:pos="6120"/>
        </w:tabs>
        <w:ind w:left="2880" w:hanging="2880"/>
        <w:rPr>
          <w:rFonts w:ascii="Century Gothic" w:hAnsi="Century Gothic"/>
        </w:rPr>
      </w:pPr>
      <w:r w:rsidRPr="00CD1C7E">
        <w:rPr>
          <w:rFonts w:ascii="Century Gothic" w:hAnsi="Century Gothic"/>
        </w:rPr>
        <w:t>Average deviation</w:t>
      </w:r>
      <w:r w:rsidRPr="00CD1C7E">
        <w:rPr>
          <w:rFonts w:ascii="Century Gothic" w:hAnsi="Century Gothic"/>
        </w:rPr>
        <w:tab/>
        <w:t>In a distribution of values, the average amount of deviation of all the values from the mean value equal to the total amount of deviation from the mean divided by the number of deviations.</w:t>
      </w:r>
    </w:p>
    <w:p w14:paraId="78E6473A" w14:textId="77777777" w:rsidR="008C628F" w:rsidRPr="00CD1C7E" w:rsidRDefault="008C628F" w:rsidP="008C628F">
      <w:pPr>
        <w:tabs>
          <w:tab w:val="left" w:pos="2880"/>
          <w:tab w:val="left" w:pos="5040"/>
          <w:tab w:val="left" w:pos="6120"/>
        </w:tabs>
        <w:ind w:left="2880" w:hanging="2880"/>
        <w:rPr>
          <w:rFonts w:ascii="Century Gothic" w:hAnsi="Century Gothic"/>
        </w:rPr>
      </w:pPr>
      <w:r w:rsidRPr="00CD1C7E">
        <w:rPr>
          <w:rFonts w:ascii="Century Gothic" w:hAnsi="Century Gothic"/>
        </w:rPr>
        <w:t>Coefficient</w:t>
      </w:r>
      <w:r w:rsidRPr="00CD1C7E">
        <w:rPr>
          <w:rFonts w:ascii="Century Gothic" w:hAnsi="Century Gothic"/>
        </w:rPr>
        <w:tab/>
        <w:t>A value prefixed as a multiplier to a variable or an unknown quantity.</w:t>
      </w:r>
    </w:p>
    <w:p w14:paraId="78E6473B" w14:textId="77777777" w:rsidR="008C628F" w:rsidRPr="00CD1C7E" w:rsidRDefault="008C628F" w:rsidP="008C628F">
      <w:pPr>
        <w:tabs>
          <w:tab w:val="left" w:pos="2880"/>
          <w:tab w:val="left" w:pos="5040"/>
          <w:tab w:val="left" w:pos="6120"/>
        </w:tabs>
        <w:ind w:left="2880" w:hanging="2880"/>
        <w:rPr>
          <w:rFonts w:ascii="Century Gothic" w:hAnsi="Century Gothic"/>
        </w:rPr>
      </w:pPr>
      <w:r w:rsidRPr="00CD1C7E">
        <w:rPr>
          <w:rFonts w:ascii="Century Gothic" w:hAnsi="Century Gothic"/>
        </w:rPr>
        <w:t>Coefficient of dispersion</w:t>
      </w:r>
      <w:r w:rsidRPr="00CD1C7E">
        <w:rPr>
          <w:rFonts w:ascii="Century Gothic" w:hAnsi="Century Gothic"/>
        </w:rPr>
        <w:tab/>
        <w:t>As applied to an assessment-to-sale ratio distribution, a measure of dispersion in a given distribution equal to the average deviation of the ratios from the mean ratio divided by the mean ratio.</w:t>
      </w:r>
    </w:p>
    <w:p w14:paraId="78E6473C" w14:textId="77777777" w:rsidR="008C628F" w:rsidRPr="00CD1C7E" w:rsidRDefault="008C628F" w:rsidP="008C628F">
      <w:pPr>
        <w:tabs>
          <w:tab w:val="left" w:pos="2880"/>
          <w:tab w:val="left" w:pos="5040"/>
          <w:tab w:val="left" w:pos="6120"/>
        </w:tabs>
        <w:ind w:left="2880" w:hanging="2880"/>
        <w:rPr>
          <w:rFonts w:ascii="Century Gothic" w:hAnsi="Century Gothic"/>
        </w:rPr>
      </w:pPr>
      <w:r w:rsidRPr="00CD1C7E">
        <w:rPr>
          <w:rFonts w:ascii="Century Gothic" w:hAnsi="Century Gothic"/>
        </w:rPr>
        <w:t>Frequency distribution</w:t>
      </w:r>
      <w:r w:rsidRPr="00CD1C7E">
        <w:rPr>
          <w:rFonts w:ascii="Century Gothic" w:hAnsi="Century Gothic"/>
        </w:rPr>
        <w:tab/>
        <w:t xml:space="preserve">A display of the frequency with which each value in a given distribution occurs; or in a </w:t>
      </w:r>
      <w:r w:rsidRPr="00CD1C7E">
        <w:rPr>
          <w:rFonts w:ascii="Century Gothic" w:hAnsi="Century Gothic"/>
          <w:i/>
        </w:rPr>
        <w:t xml:space="preserve">grouped frequency distribution, </w:t>
      </w:r>
      <w:r w:rsidRPr="00CD1C7E">
        <w:rPr>
          <w:rFonts w:ascii="Century Gothic" w:hAnsi="Century Gothic"/>
        </w:rPr>
        <w:t>a display of the frequency with which the values within various intervals, or value groupings occur.</w:t>
      </w:r>
    </w:p>
    <w:p w14:paraId="78E6473D" w14:textId="77777777" w:rsidR="008C628F" w:rsidRPr="00CD1C7E" w:rsidRDefault="008C628F" w:rsidP="008C628F">
      <w:pPr>
        <w:tabs>
          <w:tab w:val="left" w:pos="2880"/>
          <w:tab w:val="left" w:pos="5040"/>
          <w:tab w:val="left" w:pos="6120"/>
        </w:tabs>
        <w:ind w:left="2880" w:hanging="2880"/>
        <w:rPr>
          <w:rFonts w:ascii="Century Gothic" w:hAnsi="Century Gothic"/>
        </w:rPr>
      </w:pPr>
      <w:r w:rsidRPr="00CD1C7E">
        <w:rPr>
          <w:rFonts w:ascii="Century Gothic" w:hAnsi="Century Gothic"/>
        </w:rPr>
        <w:t>Mean</w:t>
      </w:r>
      <w:r w:rsidRPr="00CD1C7E">
        <w:rPr>
          <w:rFonts w:ascii="Century Gothic" w:hAnsi="Century Gothic"/>
        </w:rPr>
        <w:tab/>
        <w:t xml:space="preserve">A measure of central tendency equal to the sum of the values divided by the number.  Also referred to as </w:t>
      </w:r>
      <w:r w:rsidRPr="00CD1C7E">
        <w:rPr>
          <w:rFonts w:ascii="Century Gothic" w:hAnsi="Century Gothic"/>
          <w:i/>
        </w:rPr>
        <w:t xml:space="preserve">arithmetic average </w:t>
      </w:r>
      <w:r w:rsidRPr="00CD1C7E">
        <w:rPr>
          <w:rFonts w:ascii="Century Gothic" w:hAnsi="Century Gothic"/>
        </w:rPr>
        <w:t xml:space="preserve">or </w:t>
      </w:r>
      <w:r w:rsidRPr="00CD1C7E">
        <w:rPr>
          <w:rFonts w:ascii="Century Gothic" w:hAnsi="Century Gothic"/>
          <w:i/>
        </w:rPr>
        <w:t>arithmetic mean.</w:t>
      </w:r>
    </w:p>
    <w:p w14:paraId="78E6473E" w14:textId="77777777" w:rsidR="008C628F" w:rsidRPr="00CD1C7E" w:rsidRDefault="008C628F" w:rsidP="008C628F">
      <w:pPr>
        <w:tabs>
          <w:tab w:val="left" w:pos="2880"/>
          <w:tab w:val="left" w:pos="5040"/>
          <w:tab w:val="left" w:pos="6120"/>
        </w:tabs>
        <w:ind w:left="2880" w:hanging="2880"/>
        <w:rPr>
          <w:rFonts w:ascii="Century Gothic" w:hAnsi="Century Gothic"/>
        </w:rPr>
      </w:pPr>
      <w:r w:rsidRPr="00CD1C7E">
        <w:rPr>
          <w:rFonts w:ascii="Century Gothic" w:hAnsi="Century Gothic"/>
        </w:rPr>
        <w:t>Median</w:t>
      </w:r>
      <w:r w:rsidRPr="00CD1C7E">
        <w:rPr>
          <w:rFonts w:ascii="Century Gothic" w:hAnsi="Century Gothic"/>
        </w:rPr>
        <w:tab/>
        <w:t xml:space="preserve">A measure of central tendency equal to that point in a distribution above which 50% of the </w:t>
      </w:r>
      <w:r w:rsidRPr="00CD1C7E">
        <w:rPr>
          <w:rFonts w:ascii="Century Gothic" w:hAnsi="Century Gothic"/>
        </w:rPr>
        <w:lastRenderedPageBreak/>
        <w:t>values fall and below which 50% of the values fall.  The 50</w:t>
      </w:r>
      <w:r w:rsidRPr="00CD1C7E">
        <w:rPr>
          <w:rFonts w:ascii="Century Gothic" w:hAnsi="Century Gothic"/>
          <w:vertAlign w:val="superscript"/>
        </w:rPr>
        <w:t>th</w:t>
      </w:r>
      <w:r w:rsidRPr="00CD1C7E">
        <w:rPr>
          <w:rFonts w:ascii="Century Gothic" w:hAnsi="Century Gothic"/>
        </w:rPr>
        <w:t xml:space="preserve"> percentile.  The 2</w:t>
      </w:r>
      <w:r w:rsidRPr="00CD1C7E">
        <w:rPr>
          <w:rFonts w:ascii="Century Gothic" w:hAnsi="Century Gothic"/>
          <w:vertAlign w:val="superscript"/>
        </w:rPr>
        <w:t>nd</w:t>
      </w:r>
      <w:r w:rsidRPr="00CD1C7E">
        <w:rPr>
          <w:rFonts w:ascii="Century Gothic" w:hAnsi="Century Gothic"/>
        </w:rPr>
        <w:t xml:space="preserve"> quartile.</w:t>
      </w:r>
    </w:p>
    <w:p w14:paraId="78E6473F" w14:textId="77777777" w:rsidR="008C628F" w:rsidRPr="00CD1C7E" w:rsidRDefault="008C628F" w:rsidP="008C628F">
      <w:pPr>
        <w:tabs>
          <w:tab w:val="left" w:pos="2880"/>
          <w:tab w:val="left" w:pos="5040"/>
          <w:tab w:val="left" w:pos="6120"/>
        </w:tabs>
        <w:ind w:left="2880" w:hanging="2880"/>
        <w:rPr>
          <w:rFonts w:ascii="Century Gothic" w:hAnsi="Century Gothic"/>
        </w:rPr>
      </w:pPr>
      <w:r w:rsidRPr="00CD1C7E">
        <w:rPr>
          <w:rFonts w:ascii="Century Gothic" w:hAnsi="Century Gothic"/>
        </w:rPr>
        <w:t>Mode</w:t>
      </w:r>
      <w:r w:rsidRPr="00CD1C7E">
        <w:rPr>
          <w:rFonts w:ascii="Century Gothic" w:hAnsi="Century Gothic"/>
        </w:rPr>
        <w:tab/>
        <w:t xml:space="preserve">A measure of central tendency equal to the value occurring most frequently in a given distribution.  In a grouped frequency distribution, the mode is equal to the </w:t>
      </w:r>
      <w:r w:rsidR="00E901C8" w:rsidRPr="00CD1C7E">
        <w:rPr>
          <w:rFonts w:ascii="Century Gothic" w:hAnsi="Century Gothic"/>
        </w:rPr>
        <w:t>midpoint</w:t>
      </w:r>
      <w:r w:rsidRPr="00CD1C7E">
        <w:rPr>
          <w:rFonts w:ascii="Century Gothic" w:hAnsi="Century Gothic"/>
        </w:rPr>
        <w:t xml:space="preserve"> of the interval with the greatest frequency.</w:t>
      </w:r>
    </w:p>
    <w:p w14:paraId="78E64740" w14:textId="77777777" w:rsidR="008C628F" w:rsidRPr="00CD1C7E" w:rsidRDefault="008C628F" w:rsidP="008C628F">
      <w:pPr>
        <w:tabs>
          <w:tab w:val="left" w:pos="2880"/>
          <w:tab w:val="left" w:pos="5040"/>
          <w:tab w:val="left" w:pos="6120"/>
        </w:tabs>
        <w:ind w:left="2880" w:hanging="2880"/>
        <w:rPr>
          <w:rFonts w:ascii="Century Gothic" w:hAnsi="Century Gothic"/>
        </w:rPr>
      </w:pPr>
      <w:r w:rsidRPr="00CD1C7E">
        <w:rPr>
          <w:rFonts w:ascii="Century Gothic" w:hAnsi="Century Gothic"/>
        </w:rPr>
        <w:t>Normal distribution</w:t>
      </w:r>
      <w:r w:rsidRPr="00CD1C7E">
        <w:rPr>
          <w:rFonts w:ascii="Century Gothic" w:hAnsi="Century Gothic"/>
        </w:rPr>
        <w:tab/>
        <w:t xml:space="preserve">A distribution in which all the values are distributed symmetrically about the mean value, with 68.26% of the values falling between +/- 1 </w:t>
      </w:r>
      <w:r w:rsidR="00B17F8A">
        <w:rPr>
          <w:rFonts w:ascii="Century Gothic" w:hAnsi="Century Gothic"/>
        </w:rPr>
        <w:t>procedure</w:t>
      </w:r>
      <w:r w:rsidRPr="00CD1C7E">
        <w:rPr>
          <w:rFonts w:ascii="Century Gothic" w:hAnsi="Century Gothic"/>
        </w:rPr>
        <w:t xml:space="preserve"> deviation, 95.44% between +/- 2 </w:t>
      </w:r>
      <w:r w:rsidR="00B17F8A">
        <w:rPr>
          <w:rFonts w:ascii="Century Gothic" w:hAnsi="Century Gothic"/>
        </w:rPr>
        <w:t>procedure</w:t>
      </w:r>
      <w:r w:rsidRPr="00CD1C7E">
        <w:rPr>
          <w:rFonts w:ascii="Century Gothic" w:hAnsi="Century Gothic"/>
        </w:rPr>
        <w:t xml:space="preserve"> deviations, and 99.74% between +/- 3 </w:t>
      </w:r>
      <w:r w:rsidR="00B17F8A">
        <w:rPr>
          <w:rFonts w:ascii="Century Gothic" w:hAnsi="Century Gothic"/>
        </w:rPr>
        <w:t>procedure</w:t>
      </w:r>
      <w:r w:rsidRPr="00CD1C7E">
        <w:rPr>
          <w:rFonts w:ascii="Century Gothic" w:hAnsi="Century Gothic"/>
        </w:rPr>
        <w:t xml:space="preserve"> deviations.</w:t>
      </w:r>
    </w:p>
    <w:p w14:paraId="78E64741" w14:textId="77777777" w:rsidR="008C628F" w:rsidRPr="00CD1C7E" w:rsidRDefault="008C628F" w:rsidP="008C628F">
      <w:pPr>
        <w:tabs>
          <w:tab w:val="left" w:pos="2880"/>
          <w:tab w:val="left" w:pos="5040"/>
          <w:tab w:val="left" w:pos="6120"/>
        </w:tabs>
        <w:ind w:left="2880" w:hanging="2880"/>
        <w:rPr>
          <w:rFonts w:ascii="Century Gothic" w:hAnsi="Century Gothic"/>
        </w:rPr>
      </w:pPr>
      <w:r w:rsidRPr="00CD1C7E">
        <w:rPr>
          <w:rFonts w:ascii="Century Gothic" w:hAnsi="Century Gothic"/>
        </w:rPr>
        <w:t>Percentile rank</w:t>
      </w:r>
      <w:r w:rsidRPr="00CD1C7E">
        <w:rPr>
          <w:rFonts w:ascii="Century Gothic" w:hAnsi="Century Gothic"/>
        </w:rPr>
        <w:tab/>
        <w:t>The relative position of a value in a distribution of values expressed in percentage terms; for instance, as applied to an assessment-to-sale ratio distribution, a ratio with a percentile rank of 83 would indicate that 83% of the ratios were lower and 17% of the ratios were higher than that particular ratio.</w:t>
      </w:r>
    </w:p>
    <w:p w14:paraId="78E64742" w14:textId="77777777" w:rsidR="008C628F" w:rsidRPr="00CD1C7E" w:rsidRDefault="008C628F" w:rsidP="008C628F">
      <w:pPr>
        <w:tabs>
          <w:tab w:val="left" w:pos="2880"/>
          <w:tab w:val="left" w:pos="5040"/>
          <w:tab w:val="left" w:pos="6120"/>
        </w:tabs>
        <w:ind w:left="2880" w:hanging="2880"/>
        <w:rPr>
          <w:rFonts w:ascii="Century Gothic" w:hAnsi="Century Gothic"/>
        </w:rPr>
      </w:pPr>
      <w:r w:rsidRPr="00CD1C7E">
        <w:rPr>
          <w:rFonts w:ascii="Century Gothic" w:hAnsi="Century Gothic"/>
        </w:rPr>
        <w:t>Precision</w:t>
      </w:r>
      <w:r w:rsidRPr="00CD1C7E">
        <w:rPr>
          <w:rFonts w:ascii="Century Gothic" w:hAnsi="Century Gothic"/>
        </w:rPr>
        <w:tab/>
        <w:t>As applied to real estate, it refers to the closeness of estimated value to actual selling price on an aggregate basis.</w:t>
      </w:r>
    </w:p>
    <w:p w14:paraId="78E64743" w14:textId="77777777" w:rsidR="001C586A" w:rsidRPr="00182664" w:rsidRDefault="001C586A" w:rsidP="00DB07AF">
      <w:pPr>
        <w:pStyle w:val="Heading1"/>
        <w:numPr>
          <w:ilvl w:val="0"/>
          <w:numId w:val="0"/>
        </w:numPr>
        <w:rPr>
          <w:rFonts w:ascii="Century Gothic" w:hAnsi="Century Gothic"/>
        </w:rPr>
      </w:pPr>
    </w:p>
    <w:sectPr w:rsidR="001C586A" w:rsidRPr="00182664" w:rsidSect="009361A3">
      <w:footerReference w:type="default" r:id="rId32"/>
      <w:type w:val="continuous"/>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E64767" w14:textId="77777777" w:rsidR="00E55D4D" w:rsidRDefault="00E55D4D" w:rsidP="00CD4DF9">
      <w:pPr>
        <w:spacing w:after="0"/>
      </w:pPr>
      <w:r>
        <w:separator/>
      </w:r>
    </w:p>
  </w:endnote>
  <w:endnote w:type="continuationSeparator" w:id="0">
    <w:p w14:paraId="78E64768" w14:textId="77777777" w:rsidR="00E55D4D" w:rsidRDefault="00E55D4D" w:rsidP="00CD4DF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E64769" w14:textId="77777777" w:rsidR="001111C4" w:rsidRPr="009361A3" w:rsidRDefault="00DB07AF" w:rsidP="009361A3">
    <w:pPr>
      <w:pStyle w:val="Footer"/>
      <w:ind w:left="0" w:firstLine="0"/>
      <w:rPr>
        <w:color w:val="4F81BD"/>
      </w:rPr>
    </w:pPr>
    <w:r>
      <w:rPr>
        <w:noProof/>
        <w:color w:val="4F81BD"/>
      </w:rPr>
      <w:drawing>
        <wp:anchor distT="0" distB="0" distL="114300" distR="114300" simplePos="0" relativeHeight="251657216" behindDoc="1" locked="0" layoutInCell="1" allowOverlap="1" wp14:anchorId="78E6476C" wp14:editId="78E6476D">
          <wp:simplePos x="0" y="0"/>
          <wp:positionH relativeFrom="column">
            <wp:posOffset>2726690</wp:posOffset>
          </wp:positionH>
          <wp:positionV relativeFrom="paragraph">
            <wp:posOffset>135255</wp:posOffset>
          </wp:positionV>
          <wp:extent cx="3522345" cy="481965"/>
          <wp:effectExtent l="0" t="0" r="1905" b="0"/>
          <wp:wrapTight wrapText="bothSides">
            <wp:wrapPolygon edited="0">
              <wp:start x="0" y="0"/>
              <wp:lineTo x="0" y="20490"/>
              <wp:lineTo x="21495" y="20490"/>
              <wp:lineTo x="21495" y="0"/>
              <wp:lineTo x="0" y="0"/>
            </wp:wrapPolygon>
          </wp:wrapTight>
          <wp:docPr id="3" name="Picture 3" descr="tyler_logo_2Color_tag_lef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yler_logo_2Color_tag_left.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22345" cy="48196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E6476B" w14:textId="77777777" w:rsidR="009361A3" w:rsidRPr="009361A3" w:rsidRDefault="009361A3" w:rsidP="009361A3">
    <w:pPr>
      <w:pStyle w:val="Footer"/>
      <w:ind w:left="0" w:firstLine="0"/>
      <w:rPr>
        <w:color w:val="4F81BD"/>
      </w:rPr>
    </w:pPr>
    <w:r w:rsidRPr="009361A3">
      <w:rPr>
        <w:color w:val="244061"/>
        <w:spacing w:val="60"/>
      </w:rPr>
      <w:t>Page</w:t>
    </w:r>
    <w:r w:rsidRPr="009361A3">
      <w:rPr>
        <w:color w:val="4F81BD"/>
      </w:rPr>
      <w:t xml:space="preserve"> | </w:t>
    </w:r>
    <w:r w:rsidRPr="009361A3">
      <w:rPr>
        <w:color w:val="4F81BD"/>
      </w:rPr>
      <w:fldChar w:fldCharType="begin"/>
    </w:r>
    <w:r w:rsidRPr="009361A3">
      <w:rPr>
        <w:color w:val="4F81BD"/>
      </w:rPr>
      <w:instrText xml:space="preserve"> PAGE   \* MERGEFORMAT </w:instrText>
    </w:r>
    <w:r w:rsidRPr="009361A3">
      <w:rPr>
        <w:color w:val="4F81BD"/>
      </w:rPr>
      <w:fldChar w:fldCharType="separate"/>
    </w:r>
    <w:r w:rsidR="00447539" w:rsidRPr="00447539">
      <w:rPr>
        <w:b/>
        <w:bCs/>
        <w:noProof/>
        <w:color w:val="4F81BD"/>
      </w:rPr>
      <w:t>1</w:t>
    </w:r>
    <w:r w:rsidRPr="009361A3">
      <w:rPr>
        <w:b/>
        <w:bCs/>
        <w:noProof/>
        <w:color w:val="4F81BD"/>
      </w:rPr>
      <w:fldChar w:fldCharType="end"/>
    </w:r>
    <w:r w:rsidR="00DB07AF">
      <w:rPr>
        <w:noProof/>
        <w:color w:val="4F81BD"/>
      </w:rPr>
      <w:drawing>
        <wp:anchor distT="0" distB="0" distL="114300" distR="114300" simplePos="0" relativeHeight="251658240" behindDoc="1" locked="0" layoutInCell="1" allowOverlap="1" wp14:anchorId="78E64772" wp14:editId="78E64773">
          <wp:simplePos x="0" y="0"/>
          <wp:positionH relativeFrom="column">
            <wp:posOffset>2726690</wp:posOffset>
          </wp:positionH>
          <wp:positionV relativeFrom="paragraph">
            <wp:posOffset>135255</wp:posOffset>
          </wp:positionV>
          <wp:extent cx="3522345" cy="481965"/>
          <wp:effectExtent l="0" t="0" r="1905" b="0"/>
          <wp:wrapTight wrapText="bothSides">
            <wp:wrapPolygon edited="0">
              <wp:start x="0" y="0"/>
              <wp:lineTo x="0" y="20490"/>
              <wp:lineTo x="21495" y="20490"/>
              <wp:lineTo x="21495" y="0"/>
              <wp:lineTo x="0" y="0"/>
            </wp:wrapPolygon>
          </wp:wrapTight>
          <wp:docPr id="2" name="Picture 2" descr="tyler_logo_2Color_tag_lef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yler_logo_2Color_tag_left.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22345" cy="48196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E64765" w14:textId="77777777" w:rsidR="00E55D4D" w:rsidRDefault="00E55D4D" w:rsidP="00CD4DF9">
      <w:pPr>
        <w:spacing w:after="0"/>
      </w:pPr>
      <w:r>
        <w:separator/>
      </w:r>
    </w:p>
  </w:footnote>
  <w:footnote w:type="continuationSeparator" w:id="0">
    <w:p w14:paraId="78E64766" w14:textId="77777777" w:rsidR="00E55D4D" w:rsidRDefault="00E55D4D" w:rsidP="00CD4DF9">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E6476A" w14:textId="77777777" w:rsidR="00B17F8A" w:rsidRPr="00B17F8A" w:rsidRDefault="00DB07AF" w:rsidP="00B17F8A">
    <w:pPr>
      <w:pStyle w:val="Header"/>
      <w:jc w:val="center"/>
    </w:pPr>
    <w:r w:rsidRPr="00B17F8A">
      <w:rPr>
        <w:noProof/>
        <w:sz w:val="80"/>
        <w:szCs w:val="80"/>
      </w:rPr>
      <w:drawing>
        <wp:inline distT="0" distB="0" distL="0" distR="0" wp14:anchorId="78E6476E" wp14:editId="78E6476F">
          <wp:extent cx="1143000" cy="419100"/>
          <wp:effectExtent l="0" t="0" r="0" b="0"/>
          <wp:docPr id="139" name="Picture 139" descr="C:\Users\Melissa.Baer\Documents\Tyler Logo talking tees full 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C:\Users\Melissa.Baer\Documents\Tyler Logo talking tees full colo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43000" cy="419100"/>
                  </a:xfrm>
                  <a:prstGeom prst="rect">
                    <a:avLst/>
                  </a:prstGeom>
                  <a:noFill/>
                  <a:ln>
                    <a:noFill/>
                  </a:ln>
                </pic:spPr>
              </pic:pic>
            </a:graphicData>
          </a:graphic>
        </wp:inline>
      </w:drawing>
    </w:r>
    <w:r w:rsidR="00B17F8A">
      <w:rPr>
        <w:sz w:val="80"/>
        <w:szCs w:val="80"/>
      </w:rPr>
      <w:tab/>
    </w:r>
    <w:r w:rsidR="00B17F8A">
      <w:rPr>
        <w:sz w:val="80"/>
        <w:szCs w:val="80"/>
      </w:rPr>
      <w:tab/>
    </w:r>
    <w:r>
      <w:rPr>
        <w:noProof/>
        <w:sz w:val="80"/>
        <w:szCs w:val="80"/>
      </w:rPr>
      <w:drawing>
        <wp:inline distT="0" distB="0" distL="0" distR="0" wp14:anchorId="78E64770" wp14:editId="78E64771">
          <wp:extent cx="914400" cy="266700"/>
          <wp:effectExtent l="0" t="0" r="0" b="0"/>
          <wp:docPr id="140" name="Picture 140" descr="C:\Users\Melissa.Baer\Documents\MMRC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C:\Users\Melissa.Baer\Documents\MMRC_logo.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14400" cy="2667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BE26052"/>
    <w:multiLevelType w:val="hybridMultilevel"/>
    <w:tmpl w:val="BEA41066"/>
    <w:lvl w:ilvl="0" w:tplc="46AEE4CA">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85D07D2"/>
    <w:multiLevelType w:val="hybridMultilevel"/>
    <w:tmpl w:val="D45412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3CEB3D19"/>
    <w:multiLevelType w:val="hybridMultilevel"/>
    <w:tmpl w:val="3384B0AA"/>
    <w:lvl w:ilvl="0" w:tplc="0409000F">
      <w:start w:val="1"/>
      <w:numFmt w:val="decimal"/>
      <w:lvlText w:val="%1."/>
      <w:lvlJc w:val="left"/>
      <w:pPr>
        <w:ind w:left="1710" w:hanging="360"/>
      </w:p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3">
    <w:nsid w:val="40250174"/>
    <w:multiLevelType w:val="hybridMultilevel"/>
    <w:tmpl w:val="9AEE3260"/>
    <w:lvl w:ilvl="0" w:tplc="B34E55B0">
      <w:start w:val="3"/>
      <w:numFmt w:val="bullet"/>
      <w:lvlText w:val="•"/>
      <w:lvlJc w:val="left"/>
      <w:pPr>
        <w:ind w:left="1080" w:hanging="360"/>
      </w:pPr>
      <w:rPr>
        <w:rFonts w:ascii="Century Gothic" w:eastAsia="Calibri" w:hAnsi="Century Gothic"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49312321"/>
    <w:multiLevelType w:val="multilevel"/>
    <w:tmpl w:val="4970B09E"/>
    <w:lvl w:ilvl="0">
      <w:start w:val="1"/>
      <w:numFmt w:val="decimal"/>
      <w:pStyle w:val="Heading1"/>
      <w:lvlText w:val="%1."/>
      <w:lvlJc w:val="left"/>
      <w:pPr>
        <w:ind w:left="432" w:hanging="432"/>
      </w:pPr>
      <w:rPr>
        <w:rFonts w:hint="default"/>
        <w:b/>
      </w:r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nsid w:val="4B4A29C8"/>
    <w:multiLevelType w:val="hybridMultilevel"/>
    <w:tmpl w:val="651C6500"/>
    <w:lvl w:ilvl="0" w:tplc="F280DA04">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605B44A5"/>
    <w:multiLevelType w:val="hybridMultilevel"/>
    <w:tmpl w:val="E97494CC"/>
    <w:lvl w:ilvl="0" w:tplc="93328A94">
      <w:start w:val="1"/>
      <w:numFmt w:val="upperRoman"/>
      <w:lvlText w:val="%1."/>
      <w:lvlJc w:val="left"/>
      <w:pPr>
        <w:ind w:left="1440" w:hanging="720"/>
      </w:pPr>
      <w:rPr>
        <w:rFonts w:ascii="Calibri" w:hAnsi="Calibri"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7CFF110A"/>
    <w:multiLevelType w:val="hybridMultilevel"/>
    <w:tmpl w:val="E162F5D6"/>
    <w:lvl w:ilvl="0" w:tplc="9516EC78">
      <w:start w:val="1"/>
      <w:numFmt w:val="bullet"/>
      <w:lvlText w:val="•"/>
      <w:lvlJc w:val="left"/>
      <w:pPr>
        <w:tabs>
          <w:tab w:val="num" w:pos="720"/>
        </w:tabs>
        <w:ind w:left="720" w:hanging="360"/>
      </w:pPr>
      <w:rPr>
        <w:rFonts w:ascii="Arial" w:hAnsi="Arial" w:hint="default"/>
      </w:rPr>
    </w:lvl>
    <w:lvl w:ilvl="1" w:tplc="5ECAC96E" w:tentative="1">
      <w:start w:val="1"/>
      <w:numFmt w:val="bullet"/>
      <w:lvlText w:val="•"/>
      <w:lvlJc w:val="left"/>
      <w:pPr>
        <w:tabs>
          <w:tab w:val="num" w:pos="1440"/>
        </w:tabs>
        <w:ind w:left="1440" w:hanging="360"/>
      </w:pPr>
      <w:rPr>
        <w:rFonts w:ascii="Arial" w:hAnsi="Arial" w:hint="default"/>
      </w:rPr>
    </w:lvl>
    <w:lvl w:ilvl="2" w:tplc="F6DABEEE" w:tentative="1">
      <w:start w:val="1"/>
      <w:numFmt w:val="bullet"/>
      <w:lvlText w:val="•"/>
      <w:lvlJc w:val="left"/>
      <w:pPr>
        <w:tabs>
          <w:tab w:val="num" w:pos="2160"/>
        </w:tabs>
        <w:ind w:left="2160" w:hanging="360"/>
      </w:pPr>
      <w:rPr>
        <w:rFonts w:ascii="Arial" w:hAnsi="Arial" w:hint="default"/>
      </w:rPr>
    </w:lvl>
    <w:lvl w:ilvl="3" w:tplc="3C18B5F0" w:tentative="1">
      <w:start w:val="1"/>
      <w:numFmt w:val="bullet"/>
      <w:lvlText w:val="•"/>
      <w:lvlJc w:val="left"/>
      <w:pPr>
        <w:tabs>
          <w:tab w:val="num" w:pos="2880"/>
        </w:tabs>
        <w:ind w:left="2880" w:hanging="360"/>
      </w:pPr>
      <w:rPr>
        <w:rFonts w:ascii="Arial" w:hAnsi="Arial" w:hint="default"/>
      </w:rPr>
    </w:lvl>
    <w:lvl w:ilvl="4" w:tplc="65A87D72" w:tentative="1">
      <w:start w:val="1"/>
      <w:numFmt w:val="bullet"/>
      <w:lvlText w:val="•"/>
      <w:lvlJc w:val="left"/>
      <w:pPr>
        <w:tabs>
          <w:tab w:val="num" w:pos="3600"/>
        </w:tabs>
        <w:ind w:left="3600" w:hanging="360"/>
      </w:pPr>
      <w:rPr>
        <w:rFonts w:ascii="Arial" w:hAnsi="Arial" w:hint="default"/>
      </w:rPr>
    </w:lvl>
    <w:lvl w:ilvl="5" w:tplc="1548AC50" w:tentative="1">
      <w:start w:val="1"/>
      <w:numFmt w:val="bullet"/>
      <w:lvlText w:val="•"/>
      <w:lvlJc w:val="left"/>
      <w:pPr>
        <w:tabs>
          <w:tab w:val="num" w:pos="4320"/>
        </w:tabs>
        <w:ind w:left="4320" w:hanging="360"/>
      </w:pPr>
      <w:rPr>
        <w:rFonts w:ascii="Arial" w:hAnsi="Arial" w:hint="default"/>
      </w:rPr>
    </w:lvl>
    <w:lvl w:ilvl="6" w:tplc="1D56DA0A" w:tentative="1">
      <w:start w:val="1"/>
      <w:numFmt w:val="bullet"/>
      <w:lvlText w:val="•"/>
      <w:lvlJc w:val="left"/>
      <w:pPr>
        <w:tabs>
          <w:tab w:val="num" w:pos="5040"/>
        </w:tabs>
        <w:ind w:left="5040" w:hanging="360"/>
      </w:pPr>
      <w:rPr>
        <w:rFonts w:ascii="Arial" w:hAnsi="Arial" w:hint="default"/>
      </w:rPr>
    </w:lvl>
    <w:lvl w:ilvl="7" w:tplc="51221B0E" w:tentative="1">
      <w:start w:val="1"/>
      <w:numFmt w:val="bullet"/>
      <w:lvlText w:val="•"/>
      <w:lvlJc w:val="left"/>
      <w:pPr>
        <w:tabs>
          <w:tab w:val="num" w:pos="5760"/>
        </w:tabs>
        <w:ind w:left="5760" w:hanging="360"/>
      </w:pPr>
      <w:rPr>
        <w:rFonts w:ascii="Arial" w:hAnsi="Arial" w:hint="default"/>
      </w:rPr>
    </w:lvl>
    <w:lvl w:ilvl="8" w:tplc="5C4E75C8" w:tentative="1">
      <w:start w:val="1"/>
      <w:numFmt w:val="bullet"/>
      <w:lvlText w:val="•"/>
      <w:lvlJc w:val="left"/>
      <w:pPr>
        <w:tabs>
          <w:tab w:val="num" w:pos="6480"/>
        </w:tabs>
        <w:ind w:left="6480" w:hanging="360"/>
      </w:pPr>
      <w:rPr>
        <w:rFonts w:ascii="Arial" w:hAnsi="Arial" w:hint="default"/>
      </w:rPr>
    </w:lvl>
  </w:abstractNum>
  <w:num w:numId="1">
    <w:abstractNumId w:val="5"/>
  </w:num>
  <w:num w:numId="2">
    <w:abstractNumId w:val="6"/>
  </w:num>
  <w:num w:numId="3">
    <w:abstractNumId w:val="3"/>
  </w:num>
  <w:num w:numId="4">
    <w:abstractNumId w:val="1"/>
  </w:num>
  <w:num w:numId="5">
    <w:abstractNumId w:val="0"/>
  </w:num>
  <w:num w:numId="6">
    <w:abstractNumId w:val="4"/>
  </w:num>
  <w:num w:numId="7">
    <w:abstractNumId w:val="4"/>
  </w:num>
  <w:num w:numId="8">
    <w:abstractNumId w:val="2"/>
  </w:num>
  <w:num w:numId="9">
    <w:abstractNumId w:val="4"/>
    <w:lvlOverride w:ilvl="0">
      <w:startOverride w:val="1"/>
    </w:lvlOverride>
  </w:num>
  <w:num w:numId="10">
    <w:abstractNumId w:val="4"/>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15CD"/>
    <w:rsid w:val="000152BE"/>
    <w:rsid w:val="00030EB3"/>
    <w:rsid w:val="00043276"/>
    <w:rsid w:val="00046581"/>
    <w:rsid w:val="00050959"/>
    <w:rsid w:val="00051FEF"/>
    <w:rsid w:val="000A5853"/>
    <w:rsid w:val="000B075F"/>
    <w:rsid w:val="000D2FED"/>
    <w:rsid w:val="00100668"/>
    <w:rsid w:val="001111C4"/>
    <w:rsid w:val="00113B77"/>
    <w:rsid w:val="001342C8"/>
    <w:rsid w:val="001356FA"/>
    <w:rsid w:val="001618C9"/>
    <w:rsid w:val="001700C9"/>
    <w:rsid w:val="001704A8"/>
    <w:rsid w:val="00182664"/>
    <w:rsid w:val="001A2C27"/>
    <w:rsid w:val="001A61F3"/>
    <w:rsid w:val="001C586A"/>
    <w:rsid w:val="001D77B3"/>
    <w:rsid w:val="00231B6B"/>
    <w:rsid w:val="00240BD7"/>
    <w:rsid w:val="00257990"/>
    <w:rsid w:val="00257EA1"/>
    <w:rsid w:val="00284572"/>
    <w:rsid w:val="00285A68"/>
    <w:rsid w:val="002915CD"/>
    <w:rsid w:val="00292170"/>
    <w:rsid w:val="002A554A"/>
    <w:rsid w:val="002C69BC"/>
    <w:rsid w:val="002E42BB"/>
    <w:rsid w:val="002E6130"/>
    <w:rsid w:val="00345F0B"/>
    <w:rsid w:val="00351A3E"/>
    <w:rsid w:val="00371F32"/>
    <w:rsid w:val="0037650A"/>
    <w:rsid w:val="00380054"/>
    <w:rsid w:val="00386C55"/>
    <w:rsid w:val="00393729"/>
    <w:rsid w:val="003B68A3"/>
    <w:rsid w:val="003C0328"/>
    <w:rsid w:val="003E0D70"/>
    <w:rsid w:val="003E7148"/>
    <w:rsid w:val="00401681"/>
    <w:rsid w:val="004079B9"/>
    <w:rsid w:val="00414581"/>
    <w:rsid w:val="00417112"/>
    <w:rsid w:val="00423627"/>
    <w:rsid w:val="00440456"/>
    <w:rsid w:val="00447539"/>
    <w:rsid w:val="00466B67"/>
    <w:rsid w:val="0047552C"/>
    <w:rsid w:val="00487E3A"/>
    <w:rsid w:val="004A1B54"/>
    <w:rsid w:val="004A4A0A"/>
    <w:rsid w:val="004C3F11"/>
    <w:rsid w:val="004D2C28"/>
    <w:rsid w:val="004E2913"/>
    <w:rsid w:val="004E75C2"/>
    <w:rsid w:val="004F1621"/>
    <w:rsid w:val="004F475E"/>
    <w:rsid w:val="00500EAA"/>
    <w:rsid w:val="00515A8F"/>
    <w:rsid w:val="00533FC5"/>
    <w:rsid w:val="00560304"/>
    <w:rsid w:val="005E1651"/>
    <w:rsid w:val="00606A61"/>
    <w:rsid w:val="006307D3"/>
    <w:rsid w:val="006318F1"/>
    <w:rsid w:val="00633ABA"/>
    <w:rsid w:val="006424E3"/>
    <w:rsid w:val="006C65AD"/>
    <w:rsid w:val="006F44EE"/>
    <w:rsid w:val="00746F09"/>
    <w:rsid w:val="00756103"/>
    <w:rsid w:val="00770EAE"/>
    <w:rsid w:val="007E4F42"/>
    <w:rsid w:val="00801084"/>
    <w:rsid w:val="00801A26"/>
    <w:rsid w:val="008104F5"/>
    <w:rsid w:val="00816F4B"/>
    <w:rsid w:val="00835D97"/>
    <w:rsid w:val="00864956"/>
    <w:rsid w:val="00876CA5"/>
    <w:rsid w:val="008C1F22"/>
    <w:rsid w:val="008C628F"/>
    <w:rsid w:val="008E37C3"/>
    <w:rsid w:val="0090574E"/>
    <w:rsid w:val="009361A3"/>
    <w:rsid w:val="00947B13"/>
    <w:rsid w:val="0097350E"/>
    <w:rsid w:val="00977C24"/>
    <w:rsid w:val="00992275"/>
    <w:rsid w:val="009A4CAB"/>
    <w:rsid w:val="009A51EA"/>
    <w:rsid w:val="009B488A"/>
    <w:rsid w:val="009C61DF"/>
    <w:rsid w:val="009D3EA6"/>
    <w:rsid w:val="009D6EEE"/>
    <w:rsid w:val="009E32A5"/>
    <w:rsid w:val="00A40286"/>
    <w:rsid w:val="00AA0FB4"/>
    <w:rsid w:val="00AB5DA4"/>
    <w:rsid w:val="00AE5C3F"/>
    <w:rsid w:val="00B029B9"/>
    <w:rsid w:val="00B10CBE"/>
    <w:rsid w:val="00B17F8A"/>
    <w:rsid w:val="00B540C8"/>
    <w:rsid w:val="00B6269A"/>
    <w:rsid w:val="00B9299F"/>
    <w:rsid w:val="00B95389"/>
    <w:rsid w:val="00B97723"/>
    <w:rsid w:val="00BC2659"/>
    <w:rsid w:val="00BD0919"/>
    <w:rsid w:val="00BF271D"/>
    <w:rsid w:val="00BF5188"/>
    <w:rsid w:val="00C05297"/>
    <w:rsid w:val="00C053C7"/>
    <w:rsid w:val="00C104C1"/>
    <w:rsid w:val="00C10E2B"/>
    <w:rsid w:val="00C13D3B"/>
    <w:rsid w:val="00C17CF0"/>
    <w:rsid w:val="00C22797"/>
    <w:rsid w:val="00C3387E"/>
    <w:rsid w:val="00C42AA5"/>
    <w:rsid w:val="00C501EA"/>
    <w:rsid w:val="00C50A65"/>
    <w:rsid w:val="00C61E70"/>
    <w:rsid w:val="00C72E9A"/>
    <w:rsid w:val="00CA2357"/>
    <w:rsid w:val="00CB0C4B"/>
    <w:rsid w:val="00CC4250"/>
    <w:rsid w:val="00CD00A2"/>
    <w:rsid w:val="00CD4DF9"/>
    <w:rsid w:val="00CF6410"/>
    <w:rsid w:val="00D00C30"/>
    <w:rsid w:val="00D22D6B"/>
    <w:rsid w:val="00D326D5"/>
    <w:rsid w:val="00D522A9"/>
    <w:rsid w:val="00D569FB"/>
    <w:rsid w:val="00D71A62"/>
    <w:rsid w:val="00D87173"/>
    <w:rsid w:val="00DA16FD"/>
    <w:rsid w:val="00DA5178"/>
    <w:rsid w:val="00DA7A26"/>
    <w:rsid w:val="00DB07AF"/>
    <w:rsid w:val="00DB261B"/>
    <w:rsid w:val="00DE37D4"/>
    <w:rsid w:val="00DE5904"/>
    <w:rsid w:val="00DF0632"/>
    <w:rsid w:val="00E077C8"/>
    <w:rsid w:val="00E55D4D"/>
    <w:rsid w:val="00E901C8"/>
    <w:rsid w:val="00EA0960"/>
    <w:rsid w:val="00EC7495"/>
    <w:rsid w:val="00EE5780"/>
    <w:rsid w:val="00F00CDC"/>
    <w:rsid w:val="00F0389C"/>
    <w:rsid w:val="00F13240"/>
    <w:rsid w:val="00F22F7D"/>
    <w:rsid w:val="00F2591D"/>
    <w:rsid w:val="00F30A7E"/>
    <w:rsid w:val="00F453F1"/>
    <w:rsid w:val="00F81A7B"/>
    <w:rsid w:val="00F9070F"/>
    <w:rsid w:val="00F91C81"/>
    <w:rsid w:val="00F921D4"/>
    <w:rsid w:val="00FE2BC6"/>
    <w:rsid w:val="00FF7E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8E645B5"/>
  <w15:docId w15:val="{C8853558-A7B4-4033-9035-86B44CA42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0D70"/>
    <w:pPr>
      <w:spacing w:after="200"/>
      <w:ind w:left="1440" w:hanging="720"/>
      <w:jc w:val="both"/>
    </w:pPr>
    <w:rPr>
      <w:sz w:val="22"/>
      <w:szCs w:val="22"/>
    </w:rPr>
  </w:style>
  <w:style w:type="paragraph" w:styleId="Heading1">
    <w:name w:val="heading 1"/>
    <w:basedOn w:val="Normal"/>
    <w:next w:val="Normal"/>
    <w:link w:val="Heading1Char"/>
    <w:uiPriority w:val="9"/>
    <w:qFormat/>
    <w:rsid w:val="001D77B3"/>
    <w:pPr>
      <w:keepNext/>
      <w:numPr>
        <w:numId w:val="7"/>
      </w:numPr>
      <w:spacing w:before="240" w:after="60"/>
      <w:jc w:val="left"/>
      <w:outlineLvl w:val="0"/>
    </w:pPr>
    <w:rPr>
      <w:rFonts w:ascii="Cambria" w:eastAsia="Times New Roman" w:hAnsi="Cambria"/>
      <w:b/>
      <w:bCs/>
      <w:kern w:val="32"/>
      <w:sz w:val="32"/>
      <w:szCs w:val="32"/>
    </w:rPr>
  </w:style>
  <w:style w:type="paragraph" w:styleId="Heading2">
    <w:name w:val="heading 2"/>
    <w:basedOn w:val="Normal"/>
    <w:next w:val="Normal"/>
    <w:link w:val="Heading2Char"/>
    <w:uiPriority w:val="9"/>
    <w:unhideWhenUsed/>
    <w:qFormat/>
    <w:rsid w:val="004D2C28"/>
    <w:pPr>
      <w:keepNext/>
      <w:numPr>
        <w:ilvl w:val="1"/>
        <w:numId w:val="7"/>
      </w:numPr>
      <w:spacing w:before="240" w:after="60"/>
      <w:outlineLvl w:val="1"/>
    </w:pPr>
    <w:rPr>
      <w:rFonts w:ascii="Cambria" w:eastAsia="Times New Roman" w:hAnsi="Cambria"/>
      <w:b/>
      <w:bCs/>
      <w:iCs/>
      <w:sz w:val="28"/>
      <w:szCs w:val="28"/>
    </w:rPr>
  </w:style>
  <w:style w:type="paragraph" w:styleId="Heading3">
    <w:name w:val="heading 3"/>
    <w:basedOn w:val="Normal"/>
    <w:next w:val="Normal"/>
    <w:link w:val="Heading3Char"/>
    <w:uiPriority w:val="9"/>
    <w:semiHidden/>
    <w:unhideWhenUsed/>
    <w:qFormat/>
    <w:rsid w:val="001D77B3"/>
    <w:pPr>
      <w:keepNext/>
      <w:numPr>
        <w:ilvl w:val="2"/>
        <w:numId w:val="7"/>
      </w:numPr>
      <w:spacing w:before="240" w:after="60"/>
      <w:outlineLvl w:val="2"/>
    </w:pPr>
    <w:rPr>
      <w:rFonts w:ascii="Cambria" w:eastAsia="Times New Roman" w:hAnsi="Cambria"/>
      <w:b/>
      <w:bCs/>
      <w:sz w:val="26"/>
      <w:szCs w:val="26"/>
    </w:rPr>
  </w:style>
  <w:style w:type="paragraph" w:styleId="Heading4">
    <w:name w:val="heading 4"/>
    <w:basedOn w:val="Normal"/>
    <w:next w:val="Normal"/>
    <w:link w:val="Heading4Char"/>
    <w:uiPriority w:val="9"/>
    <w:semiHidden/>
    <w:unhideWhenUsed/>
    <w:qFormat/>
    <w:rsid w:val="001D77B3"/>
    <w:pPr>
      <w:keepNext/>
      <w:numPr>
        <w:ilvl w:val="3"/>
        <w:numId w:val="7"/>
      </w:numPr>
      <w:spacing w:before="240" w:after="60"/>
      <w:outlineLvl w:val="3"/>
    </w:pPr>
    <w:rPr>
      <w:rFonts w:eastAsia="Times New Roman"/>
      <w:b/>
      <w:bCs/>
      <w:sz w:val="28"/>
      <w:szCs w:val="28"/>
    </w:rPr>
  </w:style>
  <w:style w:type="paragraph" w:styleId="Heading5">
    <w:name w:val="heading 5"/>
    <w:basedOn w:val="Normal"/>
    <w:next w:val="Normal"/>
    <w:link w:val="Heading5Char"/>
    <w:uiPriority w:val="9"/>
    <w:semiHidden/>
    <w:unhideWhenUsed/>
    <w:qFormat/>
    <w:rsid w:val="001D77B3"/>
    <w:pPr>
      <w:numPr>
        <w:ilvl w:val="4"/>
        <w:numId w:val="7"/>
      </w:numPr>
      <w:spacing w:before="240" w:after="60"/>
      <w:outlineLvl w:val="4"/>
    </w:pPr>
    <w:rPr>
      <w:rFonts w:eastAsia="Times New Roman"/>
      <w:b/>
      <w:bCs/>
      <w:i/>
      <w:iCs/>
      <w:sz w:val="26"/>
      <w:szCs w:val="26"/>
    </w:rPr>
  </w:style>
  <w:style w:type="paragraph" w:styleId="Heading6">
    <w:name w:val="heading 6"/>
    <w:basedOn w:val="Normal"/>
    <w:next w:val="Normal"/>
    <w:link w:val="Heading6Char"/>
    <w:uiPriority w:val="9"/>
    <w:semiHidden/>
    <w:unhideWhenUsed/>
    <w:qFormat/>
    <w:rsid w:val="001D77B3"/>
    <w:pPr>
      <w:numPr>
        <w:ilvl w:val="5"/>
        <w:numId w:val="7"/>
      </w:numPr>
      <w:spacing w:before="240" w:after="60"/>
      <w:outlineLvl w:val="5"/>
    </w:pPr>
    <w:rPr>
      <w:rFonts w:eastAsia="Times New Roman"/>
      <w:b/>
      <w:bCs/>
    </w:rPr>
  </w:style>
  <w:style w:type="paragraph" w:styleId="Heading7">
    <w:name w:val="heading 7"/>
    <w:basedOn w:val="Normal"/>
    <w:next w:val="Normal"/>
    <w:link w:val="Heading7Char"/>
    <w:uiPriority w:val="9"/>
    <w:semiHidden/>
    <w:unhideWhenUsed/>
    <w:qFormat/>
    <w:rsid w:val="001D77B3"/>
    <w:pPr>
      <w:numPr>
        <w:ilvl w:val="6"/>
        <w:numId w:val="7"/>
      </w:numPr>
      <w:spacing w:before="240" w:after="60"/>
      <w:outlineLvl w:val="6"/>
    </w:pPr>
    <w:rPr>
      <w:rFonts w:eastAsia="Times New Roman"/>
      <w:sz w:val="24"/>
      <w:szCs w:val="24"/>
    </w:rPr>
  </w:style>
  <w:style w:type="paragraph" w:styleId="Heading8">
    <w:name w:val="heading 8"/>
    <w:basedOn w:val="Normal"/>
    <w:next w:val="Normal"/>
    <w:link w:val="Heading8Char"/>
    <w:uiPriority w:val="9"/>
    <w:semiHidden/>
    <w:unhideWhenUsed/>
    <w:qFormat/>
    <w:rsid w:val="001D77B3"/>
    <w:pPr>
      <w:numPr>
        <w:ilvl w:val="7"/>
        <w:numId w:val="7"/>
      </w:numPr>
      <w:spacing w:before="240" w:after="60"/>
      <w:outlineLvl w:val="7"/>
    </w:pPr>
    <w:rPr>
      <w:rFonts w:eastAsia="Times New Roman"/>
      <w:i/>
      <w:iCs/>
      <w:sz w:val="24"/>
      <w:szCs w:val="24"/>
    </w:rPr>
  </w:style>
  <w:style w:type="paragraph" w:styleId="Heading9">
    <w:name w:val="heading 9"/>
    <w:basedOn w:val="Normal"/>
    <w:next w:val="Normal"/>
    <w:link w:val="Heading9Char"/>
    <w:uiPriority w:val="9"/>
    <w:semiHidden/>
    <w:unhideWhenUsed/>
    <w:qFormat/>
    <w:rsid w:val="001D77B3"/>
    <w:pPr>
      <w:numPr>
        <w:ilvl w:val="8"/>
        <w:numId w:val="7"/>
      </w:numPr>
      <w:spacing w:before="240" w:after="60"/>
      <w:outlineLvl w:val="8"/>
    </w:pPr>
    <w:rPr>
      <w:rFonts w:ascii="Cambria" w:eastAsia="Times New Roman"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7E4F42"/>
    <w:pPr>
      <w:ind w:left="720"/>
    </w:pPr>
  </w:style>
  <w:style w:type="paragraph" w:styleId="Header">
    <w:name w:val="header"/>
    <w:basedOn w:val="Normal"/>
    <w:link w:val="HeaderChar"/>
    <w:uiPriority w:val="99"/>
    <w:unhideWhenUsed/>
    <w:rsid w:val="00CD4DF9"/>
    <w:pPr>
      <w:tabs>
        <w:tab w:val="center" w:pos="4680"/>
        <w:tab w:val="right" w:pos="9360"/>
      </w:tabs>
    </w:pPr>
  </w:style>
  <w:style w:type="character" w:customStyle="1" w:styleId="HeaderChar">
    <w:name w:val="Header Char"/>
    <w:link w:val="Header"/>
    <w:uiPriority w:val="99"/>
    <w:rsid w:val="00CD4DF9"/>
    <w:rPr>
      <w:sz w:val="22"/>
      <w:szCs w:val="22"/>
    </w:rPr>
  </w:style>
  <w:style w:type="paragraph" w:styleId="Footer">
    <w:name w:val="footer"/>
    <w:basedOn w:val="Normal"/>
    <w:link w:val="FooterChar"/>
    <w:unhideWhenUsed/>
    <w:rsid w:val="00CD4DF9"/>
    <w:pPr>
      <w:tabs>
        <w:tab w:val="center" w:pos="4680"/>
        <w:tab w:val="right" w:pos="9360"/>
      </w:tabs>
    </w:pPr>
  </w:style>
  <w:style w:type="character" w:customStyle="1" w:styleId="FooterChar">
    <w:name w:val="Footer Char"/>
    <w:link w:val="Footer"/>
    <w:rsid w:val="00CD4DF9"/>
    <w:rPr>
      <w:sz w:val="22"/>
      <w:szCs w:val="22"/>
    </w:rPr>
  </w:style>
  <w:style w:type="paragraph" w:styleId="BalloonText">
    <w:name w:val="Balloon Text"/>
    <w:basedOn w:val="Normal"/>
    <w:link w:val="BalloonTextChar"/>
    <w:uiPriority w:val="99"/>
    <w:semiHidden/>
    <w:unhideWhenUsed/>
    <w:rsid w:val="00F00CDC"/>
    <w:pPr>
      <w:spacing w:after="0"/>
    </w:pPr>
    <w:rPr>
      <w:rFonts w:ascii="Tahoma" w:hAnsi="Tahoma" w:cs="Tahoma"/>
      <w:sz w:val="16"/>
      <w:szCs w:val="16"/>
    </w:rPr>
  </w:style>
  <w:style w:type="character" w:customStyle="1" w:styleId="BalloonTextChar">
    <w:name w:val="Balloon Text Char"/>
    <w:link w:val="BalloonText"/>
    <w:uiPriority w:val="99"/>
    <w:semiHidden/>
    <w:rsid w:val="00F00CDC"/>
    <w:rPr>
      <w:rFonts w:ascii="Tahoma" w:hAnsi="Tahoma" w:cs="Tahoma"/>
      <w:sz w:val="16"/>
      <w:szCs w:val="16"/>
    </w:rPr>
  </w:style>
  <w:style w:type="paragraph" w:styleId="Caption">
    <w:name w:val="caption"/>
    <w:basedOn w:val="Normal"/>
    <w:next w:val="Normal"/>
    <w:uiPriority w:val="35"/>
    <w:unhideWhenUsed/>
    <w:qFormat/>
    <w:rsid w:val="00292170"/>
    <w:rPr>
      <w:b/>
      <w:bCs/>
      <w:sz w:val="20"/>
      <w:szCs w:val="20"/>
    </w:rPr>
  </w:style>
  <w:style w:type="character" w:styleId="Hyperlink">
    <w:name w:val="Hyperlink"/>
    <w:uiPriority w:val="99"/>
    <w:unhideWhenUsed/>
    <w:rsid w:val="00C10E2B"/>
    <w:rPr>
      <w:color w:val="0000FF"/>
      <w:u w:val="single"/>
    </w:rPr>
  </w:style>
  <w:style w:type="character" w:customStyle="1" w:styleId="Heading1Char">
    <w:name w:val="Heading 1 Char"/>
    <w:link w:val="Heading1"/>
    <w:uiPriority w:val="9"/>
    <w:rsid w:val="001D77B3"/>
    <w:rPr>
      <w:rFonts w:ascii="Cambria" w:eastAsia="Times New Roman" w:hAnsi="Cambria"/>
      <w:b/>
      <w:bCs/>
      <w:kern w:val="32"/>
      <w:sz w:val="32"/>
      <w:szCs w:val="32"/>
    </w:rPr>
  </w:style>
  <w:style w:type="paragraph" w:styleId="TOCHeading">
    <w:name w:val="TOC Heading"/>
    <w:basedOn w:val="Heading1"/>
    <w:next w:val="Normal"/>
    <w:uiPriority w:val="39"/>
    <w:unhideWhenUsed/>
    <w:qFormat/>
    <w:rsid w:val="00801A26"/>
    <w:pPr>
      <w:keepLines/>
      <w:spacing w:before="480" w:after="0" w:line="276" w:lineRule="auto"/>
      <w:ind w:left="0" w:firstLine="0"/>
      <w:outlineLvl w:val="9"/>
    </w:pPr>
    <w:rPr>
      <w:color w:val="365F91"/>
      <w:kern w:val="0"/>
      <w:sz w:val="28"/>
      <w:szCs w:val="28"/>
      <w:lang w:eastAsia="ja-JP"/>
    </w:rPr>
  </w:style>
  <w:style w:type="paragraph" w:styleId="TOC1">
    <w:name w:val="toc 1"/>
    <w:basedOn w:val="Normal"/>
    <w:next w:val="Normal"/>
    <w:autoRedefine/>
    <w:uiPriority w:val="39"/>
    <w:unhideWhenUsed/>
    <w:rsid w:val="00F13240"/>
    <w:pPr>
      <w:tabs>
        <w:tab w:val="left" w:pos="540"/>
        <w:tab w:val="right" w:leader="dot" w:pos="9350"/>
      </w:tabs>
      <w:ind w:left="540" w:hanging="540"/>
    </w:pPr>
  </w:style>
  <w:style w:type="character" w:customStyle="1" w:styleId="Heading2Char">
    <w:name w:val="Heading 2 Char"/>
    <w:link w:val="Heading2"/>
    <w:uiPriority w:val="9"/>
    <w:rsid w:val="004D2C28"/>
    <w:rPr>
      <w:rFonts w:ascii="Cambria" w:eastAsia="Times New Roman" w:hAnsi="Cambria"/>
      <w:b/>
      <w:bCs/>
      <w:iCs/>
      <w:sz w:val="28"/>
      <w:szCs w:val="28"/>
    </w:rPr>
  </w:style>
  <w:style w:type="character" w:customStyle="1" w:styleId="Heading3Char">
    <w:name w:val="Heading 3 Char"/>
    <w:link w:val="Heading3"/>
    <w:uiPriority w:val="9"/>
    <w:semiHidden/>
    <w:rsid w:val="001D77B3"/>
    <w:rPr>
      <w:rFonts w:ascii="Cambria" w:eastAsia="Times New Roman" w:hAnsi="Cambria"/>
      <w:b/>
      <w:bCs/>
      <w:sz w:val="26"/>
      <w:szCs w:val="26"/>
    </w:rPr>
  </w:style>
  <w:style w:type="character" w:customStyle="1" w:styleId="Heading4Char">
    <w:name w:val="Heading 4 Char"/>
    <w:link w:val="Heading4"/>
    <w:uiPriority w:val="9"/>
    <w:semiHidden/>
    <w:rsid w:val="001D77B3"/>
    <w:rPr>
      <w:rFonts w:eastAsia="Times New Roman"/>
      <w:b/>
      <w:bCs/>
      <w:sz w:val="28"/>
      <w:szCs w:val="28"/>
    </w:rPr>
  </w:style>
  <w:style w:type="character" w:customStyle="1" w:styleId="Heading5Char">
    <w:name w:val="Heading 5 Char"/>
    <w:link w:val="Heading5"/>
    <w:uiPriority w:val="9"/>
    <w:semiHidden/>
    <w:rsid w:val="001D77B3"/>
    <w:rPr>
      <w:rFonts w:eastAsia="Times New Roman"/>
      <w:b/>
      <w:bCs/>
      <w:i/>
      <w:iCs/>
      <w:sz w:val="26"/>
      <w:szCs w:val="26"/>
    </w:rPr>
  </w:style>
  <w:style w:type="character" w:customStyle="1" w:styleId="Heading6Char">
    <w:name w:val="Heading 6 Char"/>
    <w:link w:val="Heading6"/>
    <w:uiPriority w:val="9"/>
    <w:semiHidden/>
    <w:rsid w:val="001D77B3"/>
    <w:rPr>
      <w:rFonts w:eastAsia="Times New Roman"/>
      <w:b/>
      <w:bCs/>
      <w:sz w:val="22"/>
      <w:szCs w:val="22"/>
    </w:rPr>
  </w:style>
  <w:style w:type="character" w:customStyle="1" w:styleId="Heading7Char">
    <w:name w:val="Heading 7 Char"/>
    <w:link w:val="Heading7"/>
    <w:uiPriority w:val="9"/>
    <w:semiHidden/>
    <w:rsid w:val="001D77B3"/>
    <w:rPr>
      <w:rFonts w:eastAsia="Times New Roman"/>
      <w:sz w:val="24"/>
      <w:szCs w:val="24"/>
    </w:rPr>
  </w:style>
  <w:style w:type="character" w:customStyle="1" w:styleId="Heading8Char">
    <w:name w:val="Heading 8 Char"/>
    <w:link w:val="Heading8"/>
    <w:uiPriority w:val="9"/>
    <w:semiHidden/>
    <w:rsid w:val="001D77B3"/>
    <w:rPr>
      <w:rFonts w:eastAsia="Times New Roman"/>
      <w:i/>
      <w:iCs/>
      <w:sz w:val="24"/>
      <w:szCs w:val="24"/>
    </w:rPr>
  </w:style>
  <w:style w:type="character" w:customStyle="1" w:styleId="Heading9Char">
    <w:name w:val="Heading 9 Char"/>
    <w:link w:val="Heading9"/>
    <w:uiPriority w:val="9"/>
    <w:semiHidden/>
    <w:rsid w:val="001D77B3"/>
    <w:rPr>
      <w:rFonts w:ascii="Cambria" w:eastAsia="Times New Roman" w:hAnsi="Cambria"/>
      <w:sz w:val="22"/>
      <w:szCs w:val="22"/>
    </w:rPr>
  </w:style>
  <w:style w:type="paragraph" w:styleId="TOC2">
    <w:name w:val="toc 2"/>
    <w:basedOn w:val="Normal"/>
    <w:next w:val="Normal"/>
    <w:autoRedefine/>
    <w:uiPriority w:val="39"/>
    <w:unhideWhenUsed/>
    <w:rsid w:val="00F30A7E"/>
    <w:pPr>
      <w:tabs>
        <w:tab w:val="left" w:pos="1080"/>
        <w:tab w:val="right" w:leader="dot" w:pos="9350"/>
      </w:tabs>
      <w:ind w:left="720" w:hanging="5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79567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image" Target="media/image7.png"/><Relationship Id="rId26" Type="http://schemas.openxmlformats.org/officeDocument/2006/relationships/oleObject" Target="embeddings/oleObject1.bin"/><Relationship Id="rId3" Type="http://schemas.openxmlformats.org/officeDocument/2006/relationships/customXml" Target="../customXml/item3.xml"/><Relationship Id="rId21" Type="http://schemas.openxmlformats.org/officeDocument/2006/relationships/image" Target="media/image10.png"/><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6.png"/><Relationship Id="rId25" Type="http://schemas.openxmlformats.org/officeDocument/2006/relationships/image" Target="media/image14.emf"/><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5.emf"/><Relationship Id="rId20" Type="http://schemas.openxmlformats.org/officeDocument/2006/relationships/image" Target="media/image9.png"/><Relationship Id="rId29" Type="http://schemas.openxmlformats.org/officeDocument/2006/relationships/image" Target="media/image16.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13.png"/><Relationship Id="rId32"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image" Target="media/image4.emf"/><Relationship Id="rId23" Type="http://schemas.openxmlformats.org/officeDocument/2006/relationships/image" Target="media/image12.emf"/><Relationship Id="rId28" Type="http://schemas.openxmlformats.org/officeDocument/2006/relationships/oleObject" Target="embeddings/oleObject2.bin"/><Relationship Id="rId10" Type="http://schemas.openxmlformats.org/officeDocument/2006/relationships/endnotes" Target="endnotes.xml"/><Relationship Id="rId19" Type="http://schemas.openxmlformats.org/officeDocument/2006/relationships/image" Target="media/image8.png"/><Relationship Id="rId31" Type="http://schemas.openxmlformats.org/officeDocument/2006/relationships/hyperlink" Target="http://www.iaao.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city-data.com" TargetMode="External"/><Relationship Id="rId22" Type="http://schemas.openxmlformats.org/officeDocument/2006/relationships/image" Target="media/image11.png"/><Relationship Id="rId27" Type="http://schemas.openxmlformats.org/officeDocument/2006/relationships/image" Target="media/image15.emf"/><Relationship Id="rId30" Type="http://schemas.openxmlformats.org/officeDocument/2006/relationships/oleObject" Target="embeddings/Microsoft_Excel_97-2003_Worksheet1.xls"/><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Resources:pws,CType_PWS_Document(1);" ma:contentTypeID="0x0101001B77644BC7F07B4A9AAF89DE8D0F50CE" ma:contentTypeVersion="" ma:contentTypeDescription="" ma:contentTypeScope="" ma:versionID="5ba398c39e7168dad5e7953a41ef734c">
  <xsd:schema xmlns:xsd="http://www.w3.org/2001/XMLSchema" xmlns:xs="http://www.w3.org/2001/XMLSchema" xmlns:p="http://schemas.microsoft.com/office/2006/metadata/properties" xmlns:ns2="E2D1CBE9-1F95-4524-BF8D-36012AD89E3D" targetNamespace="http://schemas.microsoft.com/office/2006/metadata/properties" ma:root="true" ma:fieldsID="27f33d93f05710120d8030930ea3f8ab" ns2:_="">
    <xsd:import namespace="E2D1CBE9-1F95-4524-BF8D-36012AD89E3D"/>
    <xsd:element name="properties">
      <xsd:complexType>
        <xsd:sequence>
          <xsd:element name="documentManagement">
            <xsd:complexType>
              <xsd:all>
                <xsd:element ref="ns2:Owner" minOccurs="0"/>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D1CBE9-1F95-4524-BF8D-36012AD89E3D" elementFormDefault="qualified">
    <xsd:import namespace="http://schemas.microsoft.com/office/2006/documentManagement/types"/>
    <xsd:import namespace="http://schemas.microsoft.com/office/infopath/2007/PartnerControls"/>
    <xsd:element name="Owner" ma:index="8" nillable="true" ma:displayName="Owner" ma:list="UserInfo"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atus" ma:index="9" nillable="true" ma:displayName="Status" ma:default="Draft" ma:internalName="Status">
      <xsd:simpleType>
        <xsd:restriction base="dms:Choice">
          <xsd:enumeration value="Draft"/>
          <xsd:enumeration value="Ready For Review"/>
          <xsd:enumeration value="Final"/>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Owner xmlns="E2D1CBE9-1F95-4524-BF8D-36012AD89E3D">
      <UserInfo>
        <DisplayName/>
        <AccountId xsi:nil="true"/>
        <AccountType/>
      </UserInfo>
    </Owner>
    <Status xmlns="E2D1CBE9-1F95-4524-BF8D-36012AD89E3D">Draft</Statu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1818BC-C839-4698-8DDF-1193534CC4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D1CBE9-1F95-4524-BF8D-36012AD89E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20D3901-CFCB-4D71-AB0F-5BC4790A3D72}">
  <ds:schemaRefs>
    <ds:schemaRef ds:uri="http://schemas.microsoft.com/sharepoint/v3/contenttype/forms"/>
  </ds:schemaRefs>
</ds:datastoreItem>
</file>

<file path=customXml/itemProps3.xml><?xml version="1.0" encoding="utf-8"?>
<ds:datastoreItem xmlns:ds="http://schemas.openxmlformats.org/officeDocument/2006/customXml" ds:itemID="{921F4AA5-0460-4F46-8059-36202461F9B9}">
  <ds:schemaRefs>
    <ds:schemaRef ds:uri="http://schemas.microsoft.com/office/2006/metadata/properties"/>
    <ds:schemaRef ds:uri="http://schemas.microsoft.com/office/2006/documentManagement/types"/>
    <ds:schemaRef ds:uri="http://purl.org/dc/dcmitype/"/>
    <ds:schemaRef ds:uri="http://purl.org/dc/terms/"/>
    <ds:schemaRef ds:uri="http://purl.org/dc/elements/1.1/"/>
    <ds:schemaRef ds:uri="http://schemas.openxmlformats.org/package/2006/metadata/core-properties"/>
    <ds:schemaRef ds:uri="E2D1CBE9-1F95-4524-BF8D-36012AD89E3D"/>
    <ds:schemaRef ds:uri="http://www.w3.org/XML/1998/namespace"/>
    <ds:schemaRef ds:uri="http://schemas.microsoft.com/office/infopath/2007/PartnerControls"/>
  </ds:schemaRefs>
</ds:datastoreItem>
</file>

<file path=customXml/itemProps4.xml><?xml version="1.0" encoding="utf-8"?>
<ds:datastoreItem xmlns:ds="http://schemas.openxmlformats.org/officeDocument/2006/customXml" ds:itemID="{0F567C8C-A70A-4459-9B60-89F7DC9A53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3395</Words>
  <Characters>19358</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Motion Computing</Company>
  <LinksUpToDate>false</LinksUpToDate>
  <CharactersWithSpaces>22708</CharactersWithSpaces>
  <SharedDoc>false</SharedDoc>
  <HLinks>
    <vt:vector size="138" baseType="variant">
      <vt:variant>
        <vt:i4>2031633</vt:i4>
      </vt:variant>
      <vt:variant>
        <vt:i4>135</vt:i4>
      </vt:variant>
      <vt:variant>
        <vt:i4>0</vt:i4>
      </vt:variant>
      <vt:variant>
        <vt:i4>5</vt:i4>
      </vt:variant>
      <vt:variant>
        <vt:lpwstr>http://www.city-data.com/</vt:lpwstr>
      </vt:variant>
      <vt:variant>
        <vt:lpwstr/>
      </vt:variant>
      <vt:variant>
        <vt:i4>1179697</vt:i4>
      </vt:variant>
      <vt:variant>
        <vt:i4>128</vt:i4>
      </vt:variant>
      <vt:variant>
        <vt:i4>0</vt:i4>
      </vt:variant>
      <vt:variant>
        <vt:i4>5</vt:i4>
      </vt:variant>
      <vt:variant>
        <vt:lpwstr/>
      </vt:variant>
      <vt:variant>
        <vt:lpwstr>_Toc315330475</vt:lpwstr>
      </vt:variant>
      <vt:variant>
        <vt:i4>1179697</vt:i4>
      </vt:variant>
      <vt:variant>
        <vt:i4>122</vt:i4>
      </vt:variant>
      <vt:variant>
        <vt:i4>0</vt:i4>
      </vt:variant>
      <vt:variant>
        <vt:i4>5</vt:i4>
      </vt:variant>
      <vt:variant>
        <vt:lpwstr/>
      </vt:variant>
      <vt:variant>
        <vt:lpwstr>_Toc315330474</vt:lpwstr>
      </vt:variant>
      <vt:variant>
        <vt:i4>1179697</vt:i4>
      </vt:variant>
      <vt:variant>
        <vt:i4>116</vt:i4>
      </vt:variant>
      <vt:variant>
        <vt:i4>0</vt:i4>
      </vt:variant>
      <vt:variant>
        <vt:i4>5</vt:i4>
      </vt:variant>
      <vt:variant>
        <vt:lpwstr/>
      </vt:variant>
      <vt:variant>
        <vt:lpwstr>_Toc315330473</vt:lpwstr>
      </vt:variant>
      <vt:variant>
        <vt:i4>1179697</vt:i4>
      </vt:variant>
      <vt:variant>
        <vt:i4>110</vt:i4>
      </vt:variant>
      <vt:variant>
        <vt:i4>0</vt:i4>
      </vt:variant>
      <vt:variant>
        <vt:i4>5</vt:i4>
      </vt:variant>
      <vt:variant>
        <vt:lpwstr/>
      </vt:variant>
      <vt:variant>
        <vt:lpwstr>_Toc315330472</vt:lpwstr>
      </vt:variant>
      <vt:variant>
        <vt:i4>1179697</vt:i4>
      </vt:variant>
      <vt:variant>
        <vt:i4>104</vt:i4>
      </vt:variant>
      <vt:variant>
        <vt:i4>0</vt:i4>
      </vt:variant>
      <vt:variant>
        <vt:i4>5</vt:i4>
      </vt:variant>
      <vt:variant>
        <vt:lpwstr/>
      </vt:variant>
      <vt:variant>
        <vt:lpwstr>_Toc315330471</vt:lpwstr>
      </vt:variant>
      <vt:variant>
        <vt:i4>1179697</vt:i4>
      </vt:variant>
      <vt:variant>
        <vt:i4>98</vt:i4>
      </vt:variant>
      <vt:variant>
        <vt:i4>0</vt:i4>
      </vt:variant>
      <vt:variant>
        <vt:i4>5</vt:i4>
      </vt:variant>
      <vt:variant>
        <vt:lpwstr/>
      </vt:variant>
      <vt:variant>
        <vt:lpwstr>_Toc315330470</vt:lpwstr>
      </vt:variant>
      <vt:variant>
        <vt:i4>1245233</vt:i4>
      </vt:variant>
      <vt:variant>
        <vt:i4>92</vt:i4>
      </vt:variant>
      <vt:variant>
        <vt:i4>0</vt:i4>
      </vt:variant>
      <vt:variant>
        <vt:i4>5</vt:i4>
      </vt:variant>
      <vt:variant>
        <vt:lpwstr/>
      </vt:variant>
      <vt:variant>
        <vt:lpwstr>_Toc315330469</vt:lpwstr>
      </vt:variant>
      <vt:variant>
        <vt:i4>1245233</vt:i4>
      </vt:variant>
      <vt:variant>
        <vt:i4>86</vt:i4>
      </vt:variant>
      <vt:variant>
        <vt:i4>0</vt:i4>
      </vt:variant>
      <vt:variant>
        <vt:i4>5</vt:i4>
      </vt:variant>
      <vt:variant>
        <vt:lpwstr/>
      </vt:variant>
      <vt:variant>
        <vt:lpwstr>_Toc315330468</vt:lpwstr>
      </vt:variant>
      <vt:variant>
        <vt:i4>1245233</vt:i4>
      </vt:variant>
      <vt:variant>
        <vt:i4>80</vt:i4>
      </vt:variant>
      <vt:variant>
        <vt:i4>0</vt:i4>
      </vt:variant>
      <vt:variant>
        <vt:i4>5</vt:i4>
      </vt:variant>
      <vt:variant>
        <vt:lpwstr/>
      </vt:variant>
      <vt:variant>
        <vt:lpwstr>_Toc315330467</vt:lpwstr>
      </vt:variant>
      <vt:variant>
        <vt:i4>1245233</vt:i4>
      </vt:variant>
      <vt:variant>
        <vt:i4>74</vt:i4>
      </vt:variant>
      <vt:variant>
        <vt:i4>0</vt:i4>
      </vt:variant>
      <vt:variant>
        <vt:i4>5</vt:i4>
      </vt:variant>
      <vt:variant>
        <vt:lpwstr/>
      </vt:variant>
      <vt:variant>
        <vt:lpwstr>_Toc315330466</vt:lpwstr>
      </vt:variant>
      <vt:variant>
        <vt:i4>1245233</vt:i4>
      </vt:variant>
      <vt:variant>
        <vt:i4>68</vt:i4>
      </vt:variant>
      <vt:variant>
        <vt:i4>0</vt:i4>
      </vt:variant>
      <vt:variant>
        <vt:i4>5</vt:i4>
      </vt:variant>
      <vt:variant>
        <vt:lpwstr/>
      </vt:variant>
      <vt:variant>
        <vt:lpwstr>_Toc315330465</vt:lpwstr>
      </vt:variant>
      <vt:variant>
        <vt:i4>1245233</vt:i4>
      </vt:variant>
      <vt:variant>
        <vt:i4>62</vt:i4>
      </vt:variant>
      <vt:variant>
        <vt:i4>0</vt:i4>
      </vt:variant>
      <vt:variant>
        <vt:i4>5</vt:i4>
      </vt:variant>
      <vt:variant>
        <vt:lpwstr/>
      </vt:variant>
      <vt:variant>
        <vt:lpwstr>_Toc315330464</vt:lpwstr>
      </vt:variant>
      <vt:variant>
        <vt:i4>1245233</vt:i4>
      </vt:variant>
      <vt:variant>
        <vt:i4>56</vt:i4>
      </vt:variant>
      <vt:variant>
        <vt:i4>0</vt:i4>
      </vt:variant>
      <vt:variant>
        <vt:i4>5</vt:i4>
      </vt:variant>
      <vt:variant>
        <vt:lpwstr/>
      </vt:variant>
      <vt:variant>
        <vt:lpwstr>_Toc315330463</vt:lpwstr>
      </vt:variant>
      <vt:variant>
        <vt:i4>1245233</vt:i4>
      </vt:variant>
      <vt:variant>
        <vt:i4>50</vt:i4>
      </vt:variant>
      <vt:variant>
        <vt:i4>0</vt:i4>
      </vt:variant>
      <vt:variant>
        <vt:i4>5</vt:i4>
      </vt:variant>
      <vt:variant>
        <vt:lpwstr/>
      </vt:variant>
      <vt:variant>
        <vt:lpwstr>_Toc315330462</vt:lpwstr>
      </vt:variant>
      <vt:variant>
        <vt:i4>1245233</vt:i4>
      </vt:variant>
      <vt:variant>
        <vt:i4>44</vt:i4>
      </vt:variant>
      <vt:variant>
        <vt:i4>0</vt:i4>
      </vt:variant>
      <vt:variant>
        <vt:i4>5</vt:i4>
      </vt:variant>
      <vt:variant>
        <vt:lpwstr/>
      </vt:variant>
      <vt:variant>
        <vt:lpwstr>_Toc315330461</vt:lpwstr>
      </vt:variant>
      <vt:variant>
        <vt:i4>1245233</vt:i4>
      </vt:variant>
      <vt:variant>
        <vt:i4>38</vt:i4>
      </vt:variant>
      <vt:variant>
        <vt:i4>0</vt:i4>
      </vt:variant>
      <vt:variant>
        <vt:i4>5</vt:i4>
      </vt:variant>
      <vt:variant>
        <vt:lpwstr/>
      </vt:variant>
      <vt:variant>
        <vt:lpwstr>_Toc315330460</vt:lpwstr>
      </vt:variant>
      <vt:variant>
        <vt:i4>1048625</vt:i4>
      </vt:variant>
      <vt:variant>
        <vt:i4>32</vt:i4>
      </vt:variant>
      <vt:variant>
        <vt:i4>0</vt:i4>
      </vt:variant>
      <vt:variant>
        <vt:i4>5</vt:i4>
      </vt:variant>
      <vt:variant>
        <vt:lpwstr/>
      </vt:variant>
      <vt:variant>
        <vt:lpwstr>_Toc315330459</vt:lpwstr>
      </vt:variant>
      <vt:variant>
        <vt:i4>1048625</vt:i4>
      </vt:variant>
      <vt:variant>
        <vt:i4>26</vt:i4>
      </vt:variant>
      <vt:variant>
        <vt:i4>0</vt:i4>
      </vt:variant>
      <vt:variant>
        <vt:i4>5</vt:i4>
      </vt:variant>
      <vt:variant>
        <vt:lpwstr/>
      </vt:variant>
      <vt:variant>
        <vt:lpwstr>_Toc315330458</vt:lpwstr>
      </vt:variant>
      <vt:variant>
        <vt:i4>1048625</vt:i4>
      </vt:variant>
      <vt:variant>
        <vt:i4>20</vt:i4>
      </vt:variant>
      <vt:variant>
        <vt:i4>0</vt:i4>
      </vt:variant>
      <vt:variant>
        <vt:i4>5</vt:i4>
      </vt:variant>
      <vt:variant>
        <vt:lpwstr/>
      </vt:variant>
      <vt:variant>
        <vt:lpwstr>_Toc315330457</vt:lpwstr>
      </vt:variant>
      <vt:variant>
        <vt:i4>1048625</vt:i4>
      </vt:variant>
      <vt:variant>
        <vt:i4>14</vt:i4>
      </vt:variant>
      <vt:variant>
        <vt:i4>0</vt:i4>
      </vt:variant>
      <vt:variant>
        <vt:i4>5</vt:i4>
      </vt:variant>
      <vt:variant>
        <vt:lpwstr/>
      </vt:variant>
      <vt:variant>
        <vt:lpwstr>_Toc315330456</vt:lpwstr>
      </vt:variant>
      <vt:variant>
        <vt:i4>1048625</vt:i4>
      </vt:variant>
      <vt:variant>
        <vt:i4>8</vt:i4>
      </vt:variant>
      <vt:variant>
        <vt:i4>0</vt:i4>
      </vt:variant>
      <vt:variant>
        <vt:i4>5</vt:i4>
      </vt:variant>
      <vt:variant>
        <vt:lpwstr/>
      </vt:variant>
      <vt:variant>
        <vt:lpwstr>_Toc315330455</vt:lpwstr>
      </vt:variant>
      <vt:variant>
        <vt:i4>1048625</vt:i4>
      </vt:variant>
      <vt:variant>
        <vt:i4>2</vt:i4>
      </vt:variant>
      <vt:variant>
        <vt:i4>0</vt:i4>
      </vt:variant>
      <vt:variant>
        <vt:i4>5</vt:i4>
      </vt:variant>
      <vt:variant>
        <vt:lpwstr/>
      </vt:variant>
      <vt:variant>
        <vt:lpwstr>_Toc315330454</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Bare, Randy</dc:creator>
  <cp:keywords/>
  <cp:lastModifiedBy>Fernando Gonzalez</cp:lastModifiedBy>
  <cp:revision>2</cp:revision>
  <cp:lastPrinted>2011-01-28T14:17:00Z</cp:lastPrinted>
  <dcterms:created xsi:type="dcterms:W3CDTF">2014-11-12T13:59:00Z</dcterms:created>
  <dcterms:modified xsi:type="dcterms:W3CDTF">2014-11-12T13:59:00Z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0x0101001B77644BC7F07B4A9AAF89DE8D0F50CE</vt:lpwstr>
  </property>
</Properties>
</file>